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60"/>
      </w:pPr>
      <w:r>
        <w:rPr>
          <w:rFonts w:ascii="Arial" w:hAnsi="Arial" w:eastAsia="Arial"/>
          <w:b/>
          <w:color w:val="0071E3"/>
          <w:sz w:val="26"/>
        </w:rPr>
        <w:t>Screenry</w:t>
      </w:r>
    </w:p>
    <w:p>
      <w:pPr>
        <w:pStyle w:val="Title"/>
      </w:pPr>
      <w:r>
        <w:rPr>
          <w:rFonts w:ascii="Arial" w:hAnsi="Arial" w:eastAsia="Arial"/>
          <w:b/>
          <w:color w:val="1D1D1F"/>
          <w:sz w:val="56"/>
        </w:rPr>
        <w:t>Security and data protection</w:t>
      </w:r>
    </w:p>
    <w:p>
      <w:pPr>
        <w:spacing w:after="160"/>
      </w:pPr>
      <w:r>
        <w:rPr>
          <w:rFonts w:ascii="Arial" w:hAnsi="Arial" w:eastAsia="Arial"/>
          <w:color w:val="6E6E73"/>
          <w:sz w:val="24"/>
        </w:rPr>
        <w:t>Where your data lives, who can reach it, what is kept and for how long, and what the software on your players may and may not do. This describes the platform as it runs in October 2026.</w:t>
      </w:r>
    </w:p>
    <w:p>
      <w:pPr>
        <w:pBdr>
          <w:bottom w:val="single" w:sz="4" w:space="10" w:color="E3E3E8"/>
        </w:pBdr>
        <w:spacing w:after="280"/>
      </w:pPr>
      <w:r>
        <w:rPr>
          <w:rFonts w:ascii="Arial" w:hAnsi="Arial" w:eastAsia="Arial"/>
          <w:b/>
          <w:color w:val="1D1D1F"/>
          <w:sz w:val="20"/>
        </w:rPr>
        <w:t>October 2026</w:t>
      </w:r>
    </w:p>
    <w:p>
      <w:pPr>
        <w:pStyle w:val="Heading1"/>
        <w:spacing w:before="120"/>
      </w:pPr>
      <w:r>
        <w:rPr>
          <w:rFonts w:ascii="Arial" w:hAnsi="Arial" w:eastAsia="Arial"/>
        </w:rPr>
        <w:t>At a glance</w:t>
      </w:r>
    </w:p>
    <w:tbl>
      <w:tblPr>
        <w:tblW w:type="dxa" w:w="9072"/>
        <w:jc w:val="left"/>
        <w:tblBorders>
          <w:top w:val="single" w:sz="4" w:color="E3E3E8"/>
          <w:bottom w:val="single" w:sz="4" w:color="E3E3E8"/>
          <w:insideH w:val="single" w:sz="4" w:color="E3E3E8"/>
          <w:left w:val="nil"/>
          <w:right w:val="nil"/>
          <w:insideV w:val="nil"/>
        </w:tblBorders>
        <w:tblLayout w:type="fixed"/>
        <w:tblCellMar>
          <w:top w:w="90" w:type="dxa"/>
          <w:left w:w="110" w:type="dxa"/>
          <w:bottom w:w="90" w:type="dxa"/>
          <w:right w:w="110" w:type="dxa"/>
        </w:tblCellMar>
        <w:tblLook w:firstColumn="1" w:firstRow="1" w:lastColumn="0" w:lastRow="0" w:noHBand="0" w:noVBand="1" w:val="04A0"/>
      </w:tblPr>
      <w:tblGrid>
        <w:gridCol w:w="2494"/>
        <w:gridCol w:w="6576"/>
      </w:tblGrid>
      <w:tr>
        <w:trPr>
          <w:tblHeader w:val="true"/>
          <w:cantSplit w:val="true"/>
        </w:trPr>
        <w:tc>
          <w:tcPr>
            <w:tcW w:type="dxa" w:w="2494"/>
            <w:shd w:val="clear" w:color="auto" w:fill="F5F5F7"/>
          </w:tcPr>
          <w:p>
            <w:pPr>
              <w:spacing w:after="0" w:line="276" w:lineRule="auto"/>
            </w:pPr>
            <w:r>
              <w:rPr>
                <w:rFonts w:ascii="Arial" w:hAnsi="Arial" w:eastAsia="Arial"/>
                <w:b/>
                <w:color w:val="1D1D1F"/>
                <w:sz w:val="18"/>
              </w:rPr>
              <w:t>Topic</w:t>
            </w:r>
          </w:p>
        </w:tc>
        <w:tc>
          <w:tcPr>
            <w:tcW w:type="dxa" w:w="6576"/>
            <w:shd w:val="clear" w:color="auto" w:fill="F5F5F7"/>
          </w:tcPr>
          <w:p>
            <w:pPr>
              <w:spacing w:after="0" w:line="276" w:lineRule="auto"/>
            </w:pPr>
            <w:r>
              <w:rPr>
                <w:rFonts w:ascii="Arial" w:hAnsi="Arial" w:eastAsia="Arial"/>
                <w:b/>
                <w:color w:val="1D1D1F"/>
                <w:sz w:val="18"/>
              </w:rPr>
              <w:t>In short</w:t>
            </w:r>
          </w:p>
        </w:tc>
      </w:tr>
      <w:tr>
        <w:trPr>
          <w:cantSplit w:val="true"/>
        </w:trPr>
        <w:tc>
          <w:tcPr>
            <w:tcW w:type="dxa" w:w="2494"/>
          </w:tcPr>
          <w:p>
            <w:pPr>
              <w:spacing w:after="0" w:line="276" w:lineRule="auto"/>
            </w:pPr>
            <w:r>
              <w:rPr>
                <w:rFonts w:ascii="Arial" w:hAnsi="Arial" w:eastAsia="Arial"/>
                <w:b/>
                <w:color w:val="1D1D1F"/>
                <w:sz w:val="19"/>
              </w:rPr>
              <w:t>Hosting</w:t>
            </w:r>
          </w:p>
        </w:tc>
        <w:tc>
          <w:tcPr>
            <w:tcW w:type="dxa" w:w="6576"/>
          </w:tcPr>
          <w:p>
            <w:pPr>
              <w:spacing w:after="0" w:line="276" w:lineRule="auto"/>
            </w:pPr>
            <w:r>
              <w:rPr>
                <w:rFonts w:ascii="Arial" w:hAnsi="Arial" w:eastAsia="Arial"/>
                <w:b w:val="0"/>
                <w:color w:val="1D1D1F"/>
                <w:sz w:val="19"/>
              </w:rPr>
              <w:t>Google Cloud in Finland, region europe-north1.</w:t>
            </w:r>
          </w:p>
        </w:tc>
      </w:tr>
      <w:tr>
        <w:trPr>
          <w:cantSplit w:val="true"/>
        </w:trPr>
        <w:tc>
          <w:tcPr>
            <w:tcW w:type="dxa" w:w="2494"/>
          </w:tcPr>
          <w:p>
            <w:pPr>
              <w:spacing w:after="0" w:line="276" w:lineRule="auto"/>
            </w:pPr>
            <w:r>
              <w:rPr>
                <w:rFonts w:ascii="Arial" w:hAnsi="Arial" w:eastAsia="Arial"/>
                <w:b/>
                <w:color w:val="1D1D1F"/>
                <w:sz w:val="19"/>
              </w:rPr>
              <w:t>Database</w:t>
            </w:r>
          </w:p>
        </w:tc>
        <w:tc>
          <w:tcPr>
            <w:tcW w:type="dxa" w:w="6576"/>
          </w:tcPr>
          <w:p>
            <w:pPr>
              <w:spacing w:after="0" w:line="276" w:lineRule="auto"/>
            </w:pPr>
            <w:r>
              <w:rPr>
                <w:rFonts w:ascii="Arial" w:hAnsi="Arial" w:eastAsia="Arial"/>
                <w:b w:val="0"/>
                <w:color w:val="1D1D1F"/>
                <w:sz w:val="19"/>
              </w:rPr>
              <w:t>Reachable on a private network address only; never exposed to the public internet.</w:t>
            </w:r>
          </w:p>
        </w:tc>
      </w:tr>
      <w:tr>
        <w:trPr>
          <w:cantSplit w:val="true"/>
        </w:trPr>
        <w:tc>
          <w:tcPr>
            <w:tcW w:type="dxa" w:w="2494"/>
          </w:tcPr>
          <w:p>
            <w:pPr>
              <w:spacing w:after="0" w:line="276" w:lineRule="auto"/>
            </w:pPr>
            <w:r>
              <w:rPr>
                <w:rFonts w:ascii="Arial" w:hAnsi="Arial" w:eastAsia="Arial"/>
                <w:b/>
                <w:color w:val="1D1D1F"/>
                <w:sz w:val="19"/>
              </w:rPr>
              <w:t>Backups</w:t>
            </w:r>
          </w:p>
        </w:tc>
        <w:tc>
          <w:tcPr>
            <w:tcW w:type="dxa" w:w="6576"/>
          </w:tcPr>
          <w:p>
            <w:pPr>
              <w:spacing w:after="0" w:line="276" w:lineRule="auto"/>
            </w:pPr>
            <w:r>
              <w:rPr>
                <w:rFonts w:ascii="Arial" w:hAnsi="Arial" w:eastAsia="Arial"/>
                <w:b w:val="0"/>
                <w:color w:val="1D1D1F"/>
                <w:sz w:val="19"/>
              </w:rPr>
              <w:t>Daily, seven retained.</w:t>
            </w:r>
          </w:p>
        </w:tc>
      </w:tr>
      <w:tr>
        <w:trPr>
          <w:cantSplit w:val="true"/>
        </w:trPr>
        <w:tc>
          <w:tcPr>
            <w:tcW w:type="dxa" w:w="2494"/>
          </w:tcPr>
          <w:p>
            <w:pPr>
              <w:spacing w:after="0" w:line="276" w:lineRule="auto"/>
            </w:pPr>
            <w:r>
              <w:rPr>
                <w:rFonts w:ascii="Arial" w:hAnsi="Arial" w:eastAsia="Arial"/>
                <w:b/>
                <w:color w:val="1D1D1F"/>
                <w:sz w:val="19"/>
              </w:rPr>
              <w:t>Access</w:t>
            </w:r>
          </w:p>
        </w:tc>
        <w:tc>
          <w:tcPr>
            <w:tcW w:type="dxa" w:w="6576"/>
          </w:tcPr>
          <w:p>
            <w:pPr>
              <w:spacing w:after="0" w:line="276" w:lineRule="auto"/>
            </w:pPr>
            <w:r>
              <w:rPr>
                <w:rFonts w:ascii="Arial" w:hAnsi="Arial" w:eastAsia="Arial"/>
                <w:b w:val="0"/>
                <w:color w:val="1D1D1F"/>
                <w:sz w:val="19"/>
              </w:rPr>
              <w:t>Five roles, from Platform admin to Viewer. Each organisation sees only its own screens, users and audit trail.</w:t>
            </w:r>
          </w:p>
        </w:tc>
      </w:tr>
      <w:tr>
        <w:trPr>
          <w:cantSplit w:val="true"/>
        </w:trPr>
        <w:tc>
          <w:tcPr>
            <w:tcW w:type="dxa" w:w="2494"/>
          </w:tcPr>
          <w:p>
            <w:pPr>
              <w:spacing w:after="0" w:line="276" w:lineRule="auto"/>
            </w:pPr>
            <w:r>
              <w:rPr>
                <w:rFonts w:ascii="Arial" w:hAnsi="Arial" w:eastAsia="Arial"/>
                <w:b/>
                <w:color w:val="1D1D1F"/>
                <w:sz w:val="19"/>
              </w:rPr>
              <w:t>Sign-in</w:t>
            </w:r>
          </w:p>
        </w:tc>
        <w:tc>
          <w:tcPr>
            <w:tcW w:type="dxa" w:w="6576"/>
          </w:tcPr>
          <w:p>
            <w:pPr>
              <w:spacing w:after="0" w:line="276" w:lineRule="auto"/>
            </w:pPr>
            <w:r>
              <w:rPr>
                <w:rFonts w:ascii="Arial" w:hAnsi="Arial" w:eastAsia="Arial"/>
                <w:b w:val="0"/>
                <w:color w:val="1D1D1F"/>
                <w:sz w:val="19"/>
              </w:rPr>
              <w:t>A sign-in lasts seven days from the moment the password was typed. A new network signs in again. Optional two-step sign-in with recovery codes.</w:t>
            </w:r>
          </w:p>
        </w:tc>
      </w:tr>
      <w:tr>
        <w:trPr>
          <w:cantSplit w:val="true"/>
        </w:trPr>
        <w:tc>
          <w:tcPr>
            <w:tcW w:type="dxa" w:w="2494"/>
          </w:tcPr>
          <w:p>
            <w:pPr>
              <w:spacing w:after="0" w:line="276" w:lineRule="auto"/>
            </w:pPr>
            <w:r>
              <w:rPr>
                <w:rFonts w:ascii="Arial" w:hAnsi="Arial" w:eastAsia="Arial"/>
                <w:b/>
                <w:color w:val="1D1D1F"/>
                <w:sz w:val="19"/>
              </w:rPr>
              <w:t>Audit log</w:t>
            </w:r>
          </w:p>
        </w:tc>
        <w:tc>
          <w:tcPr>
            <w:tcW w:type="dxa" w:w="6576"/>
          </w:tcPr>
          <w:p>
            <w:pPr>
              <w:spacing w:after="0" w:line="276" w:lineRule="auto"/>
            </w:pPr>
            <w:r>
              <w:rPr>
                <w:rFonts w:ascii="Arial" w:hAnsi="Arial" w:eastAsia="Arial"/>
                <w:b w:val="0"/>
                <w:color w:val="1D1D1F"/>
                <w:sz w:val="19"/>
              </w:rPr>
              <w:t>Sign-ins, failed sign-ins, reboots, outages, configuration, user and organisation administration, API keys and webhooks — with who and when.</w:t>
            </w:r>
          </w:p>
        </w:tc>
      </w:tr>
      <w:tr>
        <w:trPr>
          <w:cantSplit w:val="true"/>
        </w:trPr>
        <w:tc>
          <w:tcPr>
            <w:tcW w:type="dxa" w:w="2494"/>
          </w:tcPr>
          <w:p>
            <w:pPr>
              <w:spacing w:after="0" w:line="276" w:lineRule="auto"/>
            </w:pPr>
            <w:r>
              <w:rPr>
                <w:rFonts w:ascii="Arial" w:hAnsi="Arial" w:eastAsia="Arial"/>
                <w:b/>
                <w:color w:val="1D1D1F"/>
                <w:sz w:val="19"/>
              </w:rPr>
              <w:t>Credentials and secrets</w:t>
            </w:r>
          </w:p>
        </w:tc>
        <w:tc>
          <w:tcPr>
            <w:tcW w:type="dxa" w:w="6576"/>
          </w:tcPr>
          <w:p>
            <w:pPr>
              <w:spacing w:after="0" w:line="276" w:lineRule="auto"/>
            </w:pPr>
            <w:r>
              <w:rPr>
                <w:rFonts w:ascii="Arial" w:hAnsi="Arial" w:eastAsia="Arial"/>
                <w:b w:val="0"/>
                <w:color w:val="1D1D1F"/>
                <w:sz w:val="19"/>
              </w:rPr>
              <w:t>Third-party credentials and webhook signing secrets are encrypted at rest with authenticated encryption; never stored on a device.</w:t>
            </w:r>
          </w:p>
        </w:tc>
      </w:tr>
      <w:tr>
        <w:trPr>
          <w:cantSplit w:val="true"/>
        </w:trPr>
        <w:tc>
          <w:tcPr>
            <w:tcW w:type="dxa" w:w="2494"/>
          </w:tcPr>
          <w:p>
            <w:pPr>
              <w:spacing w:after="0" w:line="276" w:lineRule="auto"/>
            </w:pPr>
            <w:r>
              <w:rPr>
                <w:rFonts w:ascii="Arial" w:hAnsi="Arial" w:eastAsia="Arial"/>
                <w:b/>
                <w:color w:val="1D1D1F"/>
                <w:sz w:val="19"/>
              </w:rPr>
              <w:t>Device identity</w:t>
            </w:r>
          </w:p>
        </w:tc>
        <w:tc>
          <w:tcPr>
            <w:tcW w:type="dxa" w:w="6576"/>
          </w:tcPr>
          <w:p>
            <w:pPr>
              <w:spacing w:after="0" w:line="276" w:lineRule="auto"/>
            </w:pPr>
            <w:r>
              <w:rPr>
                <w:rFonts w:ascii="Arial" w:hAnsi="Arial" w:eastAsia="Arial"/>
                <w:b w:val="0"/>
                <w:color w:val="1D1D1F"/>
                <w:sz w:val="19"/>
              </w:rPr>
              <w:t>Every player holds its own key and proves it on every connection. A new player joins only with a one-time install token.</w:t>
            </w:r>
          </w:p>
        </w:tc>
      </w:tr>
      <w:tr>
        <w:trPr>
          <w:cantSplit w:val="true"/>
        </w:trPr>
        <w:tc>
          <w:tcPr>
            <w:tcW w:type="dxa" w:w="2494"/>
          </w:tcPr>
          <w:p>
            <w:pPr>
              <w:spacing w:after="0" w:line="276" w:lineRule="auto"/>
            </w:pPr>
            <w:r>
              <w:rPr>
                <w:rFonts w:ascii="Arial" w:hAnsi="Arial" w:eastAsia="Arial"/>
                <w:b/>
                <w:color w:val="1D1D1F"/>
                <w:sz w:val="19"/>
              </w:rPr>
              <w:t>Software updates</w:t>
            </w:r>
          </w:p>
        </w:tc>
        <w:tc>
          <w:tcPr>
            <w:tcW w:type="dxa" w:w="6576"/>
          </w:tcPr>
          <w:p>
            <w:pPr>
              <w:spacing w:after="0" w:line="276" w:lineRule="auto"/>
            </w:pPr>
            <w:r>
              <w:rPr>
                <w:rFonts w:ascii="Arial" w:hAnsi="Arial" w:eastAsia="Arial"/>
                <w:b w:val="0"/>
                <w:color w:val="1D1D1F"/>
                <w:sz w:val="19"/>
              </w:rPr>
              <w:t>Agent releases are signed (Ed25519) and verified on the player before anything is unpacked or run. A release that will not start is rolled back by the player itself.</w:t>
            </w:r>
          </w:p>
        </w:tc>
      </w:tr>
      <w:tr>
        <w:trPr>
          <w:cantSplit w:val="true"/>
        </w:trPr>
        <w:tc>
          <w:tcPr>
            <w:tcW w:type="dxa" w:w="2494"/>
          </w:tcPr>
          <w:p>
            <w:pPr>
              <w:spacing w:after="0" w:line="276" w:lineRule="auto"/>
            </w:pPr>
            <w:r>
              <w:rPr>
                <w:rFonts w:ascii="Arial" w:hAnsi="Arial" w:eastAsia="Arial"/>
                <w:b/>
                <w:color w:val="1D1D1F"/>
                <w:sz w:val="19"/>
              </w:rPr>
              <w:t>Device agent</w:t>
            </w:r>
          </w:p>
        </w:tc>
        <w:tc>
          <w:tcPr>
            <w:tcW w:type="dxa" w:w="6576"/>
          </w:tcPr>
          <w:p>
            <w:pPr>
              <w:spacing w:after="0" w:line="276" w:lineRule="auto"/>
            </w:pPr>
            <w:r>
              <w:rPr>
                <w:rFonts w:ascii="Arial" w:hAnsi="Arial" w:eastAsia="Arial"/>
                <w:b w:val="0"/>
                <w:color w:val="1D1D1F"/>
                <w:sz w:val="19"/>
              </w:rPr>
              <w:t>Runs as a system service. Every command is role-checked on the server. Site network scanning can be switched off per device.</w:t>
            </w:r>
          </w:p>
        </w:tc>
      </w:tr>
      <w:tr>
        <w:trPr>
          <w:cantSplit w:val="true"/>
        </w:trPr>
        <w:tc>
          <w:tcPr>
            <w:tcW w:type="dxa" w:w="2494"/>
          </w:tcPr>
          <w:p>
            <w:pPr>
              <w:spacing w:after="0" w:line="276" w:lineRule="auto"/>
            </w:pPr>
            <w:r>
              <w:rPr>
                <w:rFonts w:ascii="Arial" w:hAnsi="Arial" w:eastAsia="Arial"/>
                <w:b/>
                <w:color w:val="1D1D1F"/>
                <w:sz w:val="19"/>
              </w:rPr>
              <w:t>Remote access</w:t>
            </w:r>
          </w:p>
        </w:tc>
        <w:tc>
          <w:tcPr>
            <w:tcW w:type="dxa" w:w="6576"/>
          </w:tcPr>
          <w:p>
            <w:pPr>
              <w:spacing w:after="0" w:line="276" w:lineRule="auto"/>
            </w:pPr>
            <w:r>
              <w:rPr>
                <w:rFonts w:ascii="Arial" w:hAnsi="Arial" w:eastAsia="Arial"/>
                <w:b w:val="0"/>
                <w:color w:val="1D1D1F"/>
                <w:sz w:val="19"/>
              </w:rPr>
              <w:t>The browser terminal asks for the password again and records what the screen showed, never keystrokes. Tunnels record who, where and how much — never what passes through.</w:t>
            </w:r>
          </w:p>
        </w:tc>
      </w:tr>
      <w:tr>
        <w:trPr>
          <w:cantSplit w:val="true"/>
        </w:trPr>
        <w:tc>
          <w:tcPr>
            <w:tcW w:type="dxa" w:w="2494"/>
          </w:tcPr>
          <w:p>
            <w:pPr>
              <w:spacing w:after="0" w:line="276" w:lineRule="auto"/>
            </w:pPr>
            <w:r>
              <w:rPr>
                <w:rFonts w:ascii="Arial" w:hAnsi="Arial" w:eastAsia="Arial"/>
                <w:b/>
                <w:color w:val="1D1D1F"/>
                <w:sz w:val="19"/>
              </w:rPr>
              <w:t>Organisation API</w:t>
            </w:r>
          </w:p>
        </w:tc>
        <w:tc>
          <w:tcPr>
            <w:tcW w:type="dxa" w:w="6576"/>
          </w:tcPr>
          <w:p>
            <w:pPr>
              <w:spacing w:after="0" w:line="276" w:lineRule="auto"/>
            </w:pPr>
            <w:r>
              <w:rPr>
                <w:rFonts w:ascii="Arial" w:hAnsi="Arial" w:eastAsia="Arial"/>
                <w:b w:val="0"/>
                <w:color w:val="1D1D1F"/>
                <w:sz w:val="19"/>
              </w:rPr>
              <w:t>Organisation-owned keys: scoped, expiring, revocable, optionally limited to addresses. Webhooks are signed.</w:t>
            </w:r>
          </w:p>
        </w:tc>
      </w:tr>
      <w:tr>
        <w:trPr>
          <w:cantSplit w:val="true"/>
        </w:trPr>
        <w:tc>
          <w:tcPr>
            <w:tcW w:type="dxa" w:w="2494"/>
          </w:tcPr>
          <w:p>
            <w:pPr>
              <w:spacing w:after="0" w:line="276" w:lineRule="auto"/>
            </w:pPr>
            <w:r>
              <w:rPr>
                <w:rFonts w:ascii="Arial" w:hAnsi="Arial" w:eastAsia="Arial"/>
                <w:b/>
                <w:color w:val="1D1D1F"/>
                <w:sz w:val="19"/>
              </w:rPr>
              <w:t>Retention</w:t>
            </w:r>
          </w:p>
        </w:tc>
        <w:tc>
          <w:tcPr>
            <w:tcW w:type="dxa" w:w="6576"/>
          </w:tcPr>
          <w:p>
            <w:pPr>
              <w:spacing w:after="0" w:line="276" w:lineRule="auto"/>
            </w:pPr>
            <w:r>
              <w:rPr>
                <w:rFonts w:ascii="Arial" w:hAnsi="Arial" w:eastAsia="Arial"/>
                <w:b w:val="0"/>
                <w:color w:val="1D1D1F"/>
                <w:sz w:val="19"/>
              </w:rPr>
              <w:t>Every kind of operational data has a deletion schedule — see section 13.</w:t>
            </w:r>
          </w:p>
        </w:tc>
      </w:tr>
      <w:tr>
        <w:trPr>
          <w:cantSplit w:val="true"/>
        </w:trPr>
        <w:tc>
          <w:tcPr>
            <w:tcW w:type="dxa" w:w="2494"/>
          </w:tcPr>
          <w:p>
            <w:pPr>
              <w:spacing w:after="0" w:line="276" w:lineRule="auto"/>
            </w:pPr>
            <w:r>
              <w:rPr>
                <w:rFonts w:ascii="Arial" w:hAnsi="Arial" w:eastAsia="Arial"/>
                <w:b/>
                <w:color w:val="1D1D1F"/>
                <w:sz w:val="19"/>
              </w:rPr>
              <w:t>Public website</w:t>
            </w:r>
          </w:p>
        </w:tc>
        <w:tc>
          <w:tcPr>
            <w:tcW w:type="dxa" w:w="6576"/>
          </w:tcPr>
          <w:p>
            <w:pPr>
              <w:spacing w:after="0" w:line="276" w:lineRule="auto"/>
            </w:pPr>
            <w:r>
              <w:rPr>
                <w:rFonts w:ascii="Arial" w:hAnsi="Arial" w:eastAsia="Arial"/>
                <w:b w:val="0"/>
                <w:color w:val="1D1D1F"/>
                <w:sz w:val="19"/>
              </w:rPr>
              <w:t>No cookies and nothing stored in the browser. The IP address of a visitor is never stored.</w:t>
            </w:r>
          </w:p>
        </w:tc>
      </w:tr>
      <w:tr>
        <w:trPr>
          <w:cantSplit w:val="true"/>
        </w:trPr>
        <w:tc>
          <w:tcPr>
            <w:tcW w:type="dxa" w:w="2494"/>
          </w:tcPr>
          <w:p>
            <w:pPr>
              <w:spacing w:after="0" w:line="276" w:lineRule="auto"/>
            </w:pPr>
            <w:r>
              <w:rPr>
                <w:rFonts w:ascii="Arial" w:hAnsi="Arial" w:eastAsia="Arial"/>
                <w:b/>
                <w:color w:val="1D1D1F"/>
                <w:sz w:val="19"/>
              </w:rPr>
              <w:t>Reporting a vulnerability</w:t>
            </w:r>
          </w:p>
        </w:tc>
        <w:tc>
          <w:tcPr>
            <w:tcW w:type="dxa" w:w="6576"/>
          </w:tcPr>
          <w:p>
            <w:pPr>
              <w:spacing w:after="0" w:line="276" w:lineRule="auto"/>
            </w:pPr>
            <w:r>
              <w:rPr>
                <w:rFonts w:ascii="Arial" w:hAnsi="Arial" w:eastAsia="Arial"/>
                <w:b w:val="0"/>
                <w:color w:val="1D1D1F"/>
                <w:sz w:val="19"/>
              </w:rPr>
              <w:t>support@screenry.io</w:t>
            </w:r>
          </w:p>
        </w:tc>
      </w:tr>
    </w:tbl>
    <w:p>
      <w:pPr>
        <w:spacing w:after="40"/>
      </w:pPr>
    </w:p>
    <w:p>
      <w:pPr>
        <w:pStyle w:val="Heading1"/>
        <w:pageBreakBefore/>
        <w:tabs>
          <w:tab w:pos="652" w:val="left"/>
        </w:tabs>
        <w:spacing w:before="0"/>
        <w:ind w:left="652" w:hanging="652"/>
      </w:pPr>
      <w:r>
        <w:rPr>
          <w:rFonts w:ascii="Arial" w:hAnsi="Arial" w:eastAsia="Arial"/>
          <w:color w:val="0071E3"/>
        </w:rPr>
        <w:t>1</w:t>
        <w:tab/>
      </w:r>
      <w:r>
        <w:rPr>
          <w:rFonts w:ascii="Arial" w:hAnsi="Arial" w:eastAsia="Arial"/>
        </w:rPr>
        <w:t>Hosting and data residency</w:t>
      </w:r>
    </w:p>
    <w:p>
      <w:r>
        <w:rPr>
          <w:rFonts w:ascii="Arial" w:hAnsi="Arial" w:eastAsia="Arial"/>
          <w:color w:val="1D1D1F"/>
          <w:sz w:val="21"/>
        </w:rPr>
        <w:t>Screenry runs on Google Cloud in Finland, in the europe-north1 region. The dashboard, the API, the connections from the players and the database are operated there.</w:t>
      </w:r>
    </w:p>
    <w:p>
      <w:r>
        <w:rPr>
          <w:rFonts w:ascii="Arial" w:hAnsi="Arial" w:eastAsia="Arial"/>
          <w:color w:val="1D1D1F"/>
          <w:sz w:val="21"/>
        </w:rPr>
        <w:t>The web application tells browsers to use HTTPS only (HTTP Strict Transport Security), refuses to be framed by other sites and disables content-type sniffing.</w:t>
      </w:r>
    </w:p>
    <w:p>
      <w:pPr>
        <w:pStyle w:val="Heading1"/>
        <w:tabs>
          <w:tab w:pos="652" w:val="left"/>
        </w:tabs>
        <w:ind w:left="652" w:hanging="652"/>
      </w:pPr>
      <w:r>
        <w:rPr>
          <w:rFonts w:ascii="Arial" w:hAnsi="Arial" w:eastAsia="Arial"/>
          <w:color w:val="0071E3"/>
        </w:rPr>
        <w:t>2</w:t>
        <w:tab/>
      </w:r>
      <w:r>
        <w:rPr>
          <w:rFonts w:ascii="Arial" w:hAnsi="Arial" w:eastAsia="Arial"/>
        </w:rPr>
        <w:t>Network isolation</w:t>
      </w:r>
    </w:p>
    <w:p>
      <w:r>
        <w:rPr>
          <w:rFonts w:ascii="Arial" w:hAnsi="Arial" w:eastAsia="Arial"/>
          <w:color w:val="1D1D1F"/>
          <w:sz w:val="21"/>
        </w:rPr>
        <w:t>The database has a private network address only. It is not reachable from the public internet, and nothing about the product requires it to be. The application reaches it over the private network; so do the scheduled data jobs, which run inside the same private network rather than connecting from outside.</w:t>
      </w:r>
    </w:p>
    <w:p>
      <w:pPr>
        <w:pStyle w:val="Heading1"/>
        <w:tabs>
          <w:tab w:pos="652" w:val="left"/>
        </w:tabs>
        <w:ind w:left="652" w:hanging="652"/>
      </w:pPr>
      <w:r>
        <w:rPr>
          <w:rFonts w:ascii="Arial" w:hAnsi="Arial" w:eastAsia="Arial"/>
          <w:color w:val="0071E3"/>
        </w:rPr>
        <w:t>3</w:t>
        <w:tab/>
      </w:r>
      <w:r>
        <w:rPr>
          <w:rFonts w:ascii="Arial" w:hAnsi="Arial" w:eastAsia="Arial"/>
        </w:rPr>
        <w:t>Backups</w:t>
      </w:r>
    </w:p>
    <w:p>
      <w:r>
        <w:rPr>
          <w:rFonts w:ascii="Arial" w:hAnsi="Arial" w:eastAsia="Arial"/>
          <w:color w:val="1D1D1F"/>
          <w:sz w:val="21"/>
        </w:rPr>
        <w:t>The database is backed up daily, and the last seven backups are retained.</w:t>
      </w:r>
    </w:p>
    <w:p>
      <w:pPr>
        <w:pStyle w:val="Heading1"/>
        <w:tabs>
          <w:tab w:pos="652" w:val="left"/>
        </w:tabs>
        <w:ind w:left="652" w:hanging="652"/>
      </w:pPr>
      <w:r>
        <w:rPr>
          <w:rFonts w:ascii="Arial" w:hAnsi="Arial" w:eastAsia="Arial"/>
          <w:color w:val="0071E3"/>
        </w:rPr>
        <w:t>4</w:t>
        <w:tab/>
      </w:r>
      <w:r>
        <w:rPr>
          <w:rFonts w:ascii="Arial" w:hAnsi="Arial" w:eastAsia="Arial"/>
        </w:rPr>
        <w:t>Roles and organisation isolation</w:t>
      </w:r>
    </w:p>
    <w:p>
      <w:r>
        <w:rPr>
          <w:rFonts w:ascii="Arial" w:hAnsi="Arial" w:eastAsia="Arial"/>
          <w:color w:val="1D1D1F"/>
          <w:sz w:val="21"/>
        </w:rPr>
        <w:t>What a person may do is decided by their role. Every request is checked on the server, not only hidden in the interface.</w:t>
      </w:r>
    </w:p>
    <w:tbl>
      <w:tblPr>
        <w:tblW w:type="dxa" w:w="9072"/>
        <w:jc w:val="left"/>
        <w:tblBorders>
          <w:top w:val="single" w:sz="4" w:color="E3E3E8"/>
          <w:bottom w:val="single" w:sz="4" w:color="E3E3E8"/>
          <w:insideH w:val="single" w:sz="4" w:color="E3E3E8"/>
          <w:left w:val="nil"/>
          <w:right w:val="nil"/>
          <w:insideV w:val="nil"/>
        </w:tblBorders>
        <w:tblLayout w:type="fixed"/>
        <w:tblCellMar>
          <w:top w:w="90" w:type="dxa"/>
          <w:left w:w="110" w:type="dxa"/>
          <w:bottom w:w="90" w:type="dxa"/>
          <w:right w:w="110" w:type="dxa"/>
        </w:tblCellMar>
        <w:tblLook w:firstColumn="1" w:firstRow="1" w:lastColumn="0" w:lastRow="0" w:noHBand="0" w:noVBand="1" w:val="04A0"/>
      </w:tblPr>
      <w:tblGrid>
        <w:gridCol w:w="2211"/>
        <w:gridCol w:w="2438"/>
        <w:gridCol w:w="4422"/>
      </w:tblGrid>
      <w:tr>
        <w:trPr>
          <w:tblHeader w:val="true"/>
          <w:cantSplit w:val="true"/>
        </w:trPr>
        <w:tc>
          <w:tcPr>
            <w:tcW w:type="dxa" w:w="2211"/>
            <w:shd w:val="clear" w:color="auto" w:fill="F5F5F7"/>
          </w:tcPr>
          <w:p>
            <w:pPr>
              <w:spacing w:after="0" w:line="276" w:lineRule="auto"/>
            </w:pPr>
            <w:r>
              <w:rPr>
                <w:rFonts w:ascii="Arial" w:hAnsi="Arial" w:eastAsia="Arial"/>
                <w:b/>
                <w:color w:val="1D1D1F"/>
                <w:sz w:val="18"/>
              </w:rPr>
              <w:t>Role</w:t>
            </w:r>
          </w:p>
        </w:tc>
        <w:tc>
          <w:tcPr>
            <w:tcW w:type="dxa" w:w="2438"/>
            <w:shd w:val="clear" w:color="auto" w:fill="F5F5F7"/>
          </w:tcPr>
          <w:p>
            <w:pPr>
              <w:spacing w:after="0" w:line="276" w:lineRule="auto"/>
            </w:pPr>
            <w:r>
              <w:rPr>
                <w:rFonts w:ascii="Arial" w:hAnsi="Arial" w:eastAsia="Arial"/>
                <w:b/>
                <w:color w:val="1D1D1F"/>
                <w:sz w:val="18"/>
              </w:rPr>
              <w:t>Who</w:t>
            </w:r>
          </w:p>
        </w:tc>
        <w:tc>
          <w:tcPr>
            <w:tcW w:type="dxa" w:w="4422"/>
            <w:shd w:val="clear" w:color="auto" w:fill="F5F5F7"/>
          </w:tcPr>
          <w:p>
            <w:pPr>
              <w:spacing w:after="0" w:line="276" w:lineRule="auto"/>
            </w:pPr>
            <w:r>
              <w:rPr>
                <w:rFonts w:ascii="Arial" w:hAnsi="Arial" w:eastAsia="Arial"/>
                <w:b/>
                <w:color w:val="1D1D1F"/>
                <w:sz w:val="18"/>
              </w:rPr>
              <w:t>May</w:t>
            </w:r>
          </w:p>
        </w:tc>
      </w:tr>
      <w:tr>
        <w:trPr>
          <w:cantSplit w:val="true"/>
        </w:trPr>
        <w:tc>
          <w:tcPr>
            <w:tcW w:type="dxa" w:w="2211"/>
          </w:tcPr>
          <w:p>
            <w:pPr>
              <w:spacing w:after="0" w:line="276" w:lineRule="auto"/>
            </w:pPr>
            <w:r>
              <w:rPr>
                <w:rFonts w:ascii="Arial" w:hAnsi="Arial" w:eastAsia="Arial"/>
                <w:b/>
                <w:color w:val="1D1D1F"/>
                <w:sz w:val="19"/>
              </w:rPr>
              <w:t>Platform admin</w:t>
            </w:r>
          </w:p>
        </w:tc>
        <w:tc>
          <w:tcPr>
            <w:tcW w:type="dxa" w:w="2438"/>
          </w:tcPr>
          <w:p>
            <w:pPr>
              <w:spacing w:after="0" w:line="276" w:lineRule="auto"/>
            </w:pPr>
            <w:r>
              <w:rPr>
                <w:rFonts w:ascii="Arial" w:hAnsi="Arial" w:eastAsia="Arial"/>
                <w:b w:val="0"/>
                <w:color w:val="6E6E73"/>
                <w:sz w:val="19"/>
              </w:rPr>
              <w:t>Screenry staff</w:t>
            </w:r>
          </w:p>
        </w:tc>
        <w:tc>
          <w:tcPr>
            <w:tcW w:type="dxa" w:w="4422"/>
          </w:tcPr>
          <w:p>
            <w:pPr>
              <w:spacing w:after="0" w:line="276" w:lineRule="auto"/>
            </w:pPr>
            <w:r>
              <w:rPr>
                <w:rFonts w:ascii="Arial" w:hAnsi="Arial" w:eastAsia="Arial"/>
                <w:b w:val="0"/>
                <w:color w:val="1D1D1F"/>
                <w:sz w:val="19"/>
              </w:rPr>
              <w:t>Operate the platform across organisations.</w:t>
            </w:r>
          </w:p>
        </w:tc>
      </w:tr>
      <w:tr>
        <w:trPr>
          <w:cantSplit w:val="true"/>
        </w:trPr>
        <w:tc>
          <w:tcPr>
            <w:tcW w:type="dxa" w:w="2211"/>
          </w:tcPr>
          <w:p>
            <w:pPr>
              <w:spacing w:after="0" w:line="276" w:lineRule="auto"/>
            </w:pPr>
            <w:r>
              <w:rPr>
                <w:rFonts w:ascii="Arial" w:hAnsi="Arial" w:eastAsia="Arial"/>
                <w:b/>
                <w:color w:val="1D1D1F"/>
                <w:sz w:val="19"/>
              </w:rPr>
              <w:t>Organization admin</w:t>
            </w:r>
          </w:p>
        </w:tc>
        <w:tc>
          <w:tcPr>
            <w:tcW w:type="dxa" w:w="2438"/>
          </w:tcPr>
          <w:p>
            <w:pPr>
              <w:spacing w:after="0" w:line="276" w:lineRule="auto"/>
            </w:pPr>
            <w:r>
              <w:rPr>
                <w:rFonts w:ascii="Arial" w:hAnsi="Arial" w:eastAsia="Arial"/>
                <w:b w:val="0"/>
                <w:color w:val="6E6E73"/>
                <w:sz w:val="19"/>
              </w:rPr>
              <w:t>The customer's administrator</w:t>
            </w:r>
          </w:p>
        </w:tc>
        <w:tc>
          <w:tcPr>
            <w:tcW w:type="dxa" w:w="4422"/>
          </w:tcPr>
          <w:p>
            <w:pPr>
              <w:spacing w:after="0" w:line="276" w:lineRule="auto"/>
            </w:pPr>
            <w:r>
              <w:rPr>
                <w:rFonts w:ascii="Arial" w:hAnsi="Arial" w:eastAsia="Arial"/>
                <w:b w:val="0"/>
                <w:color w:val="1D1D1F"/>
                <w:sz w:val="19"/>
              </w:rPr>
              <w:t>Manage their own organisation: users, invitations, settings, devices.</w:t>
            </w:r>
          </w:p>
        </w:tc>
      </w:tr>
      <w:tr>
        <w:trPr>
          <w:cantSplit w:val="true"/>
        </w:trPr>
        <w:tc>
          <w:tcPr>
            <w:tcW w:type="dxa" w:w="2211"/>
          </w:tcPr>
          <w:p>
            <w:pPr>
              <w:spacing w:after="0" w:line="276" w:lineRule="auto"/>
            </w:pPr>
            <w:r>
              <w:rPr>
                <w:rFonts w:ascii="Arial" w:hAnsi="Arial" w:eastAsia="Arial"/>
                <w:b/>
                <w:color w:val="1D1D1F"/>
                <w:sz w:val="19"/>
              </w:rPr>
              <w:t>Sales manager</w:t>
            </w:r>
          </w:p>
        </w:tc>
        <w:tc>
          <w:tcPr>
            <w:tcW w:type="dxa" w:w="2438"/>
          </w:tcPr>
          <w:p>
            <w:pPr>
              <w:spacing w:after="0" w:line="276" w:lineRule="auto"/>
            </w:pPr>
            <w:r>
              <w:rPr>
                <w:rFonts w:ascii="Arial" w:hAnsi="Arial" w:eastAsia="Arial"/>
                <w:b w:val="0"/>
                <w:color w:val="6E6E73"/>
                <w:sz w:val="19"/>
              </w:rPr>
              <w:t>Commercial staff</w:t>
            </w:r>
          </w:p>
        </w:tc>
        <w:tc>
          <w:tcPr>
            <w:tcW w:type="dxa" w:w="4422"/>
          </w:tcPr>
          <w:p>
            <w:pPr>
              <w:spacing w:after="0" w:line="276" w:lineRule="auto"/>
            </w:pPr>
            <w:r>
              <w:rPr>
                <w:rFonts w:ascii="Arial" w:hAnsi="Arial" w:eastAsia="Arial"/>
                <w:b w:val="0"/>
                <w:color w:val="1D1D1F"/>
                <w:sz w:val="19"/>
              </w:rPr>
              <w:t>Everything an Operator may do, plus advertising, audience and campaigns.</w:t>
            </w:r>
          </w:p>
        </w:tc>
      </w:tr>
      <w:tr>
        <w:trPr>
          <w:cantSplit w:val="true"/>
        </w:trPr>
        <w:tc>
          <w:tcPr>
            <w:tcW w:type="dxa" w:w="2211"/>
          </w:tcPr>
          <w:p>
            <w:pPr>
              <w:spacing w:after="0" w:line="276" w:lineRule="auto"/>
            </w:pPr>
            <w:r>
              <w:rPr>
                <w:rFonts w:ascii="Arial" w:hAnsi="Arial" w:eastAsia="Arial"/>
                <w:b/>
                <w:color w:val="1D1D1F"/>
                <w:sz w:val="19"/>
              </w:rPr>
              <w:t>Operator</w:t>
            </w:r>
          </w:p>
        </w:tc>
        <w:tc>
          <w:tcPr>
            <w:tcW w:type="dxa" w:w="2438"/>
          </w:tcPr>
          <w:p>
            <w:pPr>
              <w:spacing w:after="0" w:line="276" w:lineRule="auto"/>
            </w:pPr>
            <w:r>
              <w:rPr>
                <w:rFonts w:ascii="Arial" w:hAnsi="Arial" w:eastAsia="Arial"/>
                <w:b w:val="0"/>
                <w:color w:val="6E6E73"/>
                <w:sz w:val="19"/>
              </w:rPr>
              <w:t>Field and operations staff</w:t>
            </w:r>
          </w:p>
        </w:tc>
        <w:tc>
          <w:tcPr>
            <w:tcW w:type="dxa" w:w="4422"/>
          </w:tcPr>
          <w:p>
            <w:pPr>
              <w:spacing w:after="0" w:line="276" w:lineRule="auto"/>
            </w:pPr>
            <w:r>
              <w:rPr>
                <w:rFonts w:ascii="Arial" w:hAnsi="Arial" w:eastAsia="Arial"/>
                <w:b w:val="0"/>
                <w:color w:val="1D1D1F"/>
                <w:sz w:val="19"/>
              </w:rPr>
              <w:t>View, go live, reboot and mark out of service — nothing that edits a device or reaches its LAN.</w:t>
            </w:r>
          </w:p>
        </w:tc>
      </w:tr>
      <w:tr>
        <w:trPr>
          <w:cantSplit w:val="true"/>
        </w:trPr>
        <w:tc>
          <w:tcPr>
            <w:tcW w:type="dxa" w:w="2211"/>
          </w:tcPr>
          <w:p>
            <w:pPr>
              <w:spacing w:after="0" w:line="276" w:lineRule="auto"/>
            </w:pPr>
            <w:r>
              <w:rPr>
                <w:rFonts w:ascii="Arial" w:hAnsi="Arial" w:eastAsia="Arial"/>
                <w:b/>
                <w:color w:val="1D1D1F"/>
                <w:sz w:val="19"/>
              </w:rPr>
              <w:t>Viewer</w:t>
            </w:r>
          </w:p>
        </w:tc>
        <w:tc>
          <w:tcPr>
            <w:tcW w:type="dxa" w:w="2438"/>
          </w:tcPr>
          <w:p>
            <w:pPr>
              <w:spacing w:after="0" w:line="276" w:lineRule="auto"/>
            </w:pPr>
            <w:r>
              <w:rPr>
                <w:rFonts w:ascii="Arial" w:hAnsi="Arial" w:eastAsia="Arial"/>
                <w:b w:val="0"/>
                <w:color w:val="6E6E73"/>
                <w:sz w:val="19"/>
              </w:rPr>
              <w:t>Read-only users</w:t>
            </w:r>
          </w:p>
        </w:tc>
        <w:tc>
          <w:tcPr>
            <w:tcW w:type="dxa" w:w="4422"/>
          </w:tcPr>
          <w:p>
            <w:pPr>
              <w:spacing w:after="0" w:line="276" w:lineRule="auto"/>
            </w:pPr>
            <w:r>
              <w:rPr>
                <w:rFonts w:ascii="Arial" w:hAnsi="Arial" w:eastAsia="Arial"/>
                <w:b w:val="0"/>
                <w:color w:val="1D1D1F"/>
                <w:sz w:val="19"/>
              </w:rPr>
              <w:t>View.</w:t>
            </w:r>
          </w:p>
        </w:tc>
      </w:tr>
    </w:tbl>
    <w:p>
      <w:pPr>
        <w:spacing w:after="40"/>
      </w:pPr>
    </w:p>
    <w:p>
      <w:r>
        <w:rPr>
          <w:rFonts w:ascii="Arial" w:hAnsi="Arial" w:eastAsia="Arial"/>
          <w:b/>
          <w:sz w:val="21"/>
        </w:rPr>
        <w:t xml:space="preserve">Organisations are isolated. </w:t>
      </w:r>
      <w:r>
        <w:rPr>
          <w:rFonts w:ascii="Arial" w:hAnsi="Arial" w:eastAsia="Arial"/>
          <w:b w:val="0"/>
          <w:sz w:val="21"/>
        </w:rPr>
        <w:t>Every organisation sees its own screens, users and audit trail only. An organisation admin manages their own organisation and no other, and no invitation can grant the Platform admin role.</w:t>
      </w:r>
    </w:p>
    <w:p>
      <w:pPr>
        <w:pStyle w:val="Heading1"/>
        <w:tabs>
          <w:tab w:pos="652" w:val="left"/>
        </w:tabs>
        <w:ind w:left="652" w:hanging="652"/>
      </w:pPr>
      <w:r>
        <w:rPr>
          <w:rFonts w:ascii="Arial" w:hAnsi="Arial" w:eastAsia="Arial"/>
          <w:color w:val="0071E3"/>
        </w:rPr>
        <w:t>5</w:t>
        <w:tab/>
      </w:r>
      <w:r>
        <w:rPr>
          <w:rFonts w:ascii="Arial" w:hAnsi="Arial" w:eastAsia="Arial"/>
        </w:rPr>
        <w:t>Sign-in and sessions</w:t>
      </w:r>
    </w:p>
    <w:p>
      <w:pPr>
        <w:pStyle w:val="ListBullet"/>
      </w:pPr>
      <w:r>
        <w:rPr>
          <w:rFonts w:ascii="Arial" w:hAnsi="Arial" w:eastAsia="Arial"/>
          <w:b/>
          <w:sz w:val="21"/>
        </w:rPr>
        <w:t xml:space="preserve">Seven-day sessions. </w:t>
      </w:r>
      <w:r>
        <w:rPr>
          <w:rFonts w:ascii="Arial" w:hAnsi="Arial" w:eastAsia="Arial"/>
          <w:b w:val="0"/>
          <w:sz w:val="21"/>
        </w:rPr>
        <w:t>A sign-in lasts seven days from the moment the password was typed. After that the password is asked again.</w:t>
      </w:r>
    </w:p>
    <w:p>
      <w:pPr>
        <w:pStyle w:val="ListBullet"/>
      </w:pPr>
      <w:r>
        <w:rPr>
          <w:rFonts w:ascii="Arial" w:hAnsi="Arial" w:eastAsia="Arial"/>
          <w:b/>
          <w:sz w:val="21"/>
        </w:rPr>
        <w:t xml:space="preserve">Unfamiliar networks sign in again. </w:t>
      </w:r>
      <w:r>
        <w:rPr>
          <w:rFonts w:ascii="Arial" w:hAnsi="Arial" w:eastAsia="Arial"/>
          <w:b w:val="0"/>
          <w:sz w:val="21"/>
        </w:rPr>
        <w:t>A request from a network the account has not used in the last 30 days must sign in again.</w:t>
      </w:r>
    </w:p>
    <w:p>
      <w:pPr>
        <w:pStyle w:val="ListBullet"/>
      </w:pPr>
      <w:r>
        <w:rPr>
          <w:rFonts w:ascii="Arial" w:hAnsi="Arial" w:eastAsia="Arial"/>
          <w:b/>
          <w:sz w:val="21"/>
        </w:rPr>
        <w:t xml:space="preserve">Optional two-step sign-in. </w:t>
      </w:r>
      <w:r>
        <w:rPr>
          <w:rFonts w:ascii="Arial" w:hAnsi="Arial" w:eastAsia="Arial"/>
          <w:b w:val="0"/>
          <w:sz w:val="21"/>
        </w:rPr>
        <w:t>Anyone can turn on two-step sign-in with an authenticator app. Eight one-time recovery codes are issued for when the phone is not at hand; each works once.</w:t>
      </w:r>
    </w:p>
    <w:p>
      <w:pPr>
        <w:pStyle w:val="ListBullet"/>
      </w:pPr>
      <w:r>
        <w:rPr>
          <w:rFonts w:ascii="Arial" w:hAnsi="Arial" w:eastAsia="Arial"/>
          <w:b/>
          <w:sz w:val="21"/>
        </w:rPr>
        <w:t xml:space="preserve">Ending sessions. </w:t>
      </w:r>
      <w:r>
        <w:rPr>
          <w:rFonts w:ascii="Arial" w:hAnsi="Arial" w:eastAsia="Arial"/>
          <w:b w:val="0"/>
          <w:sz w:val="21"/>
        </w:rPr>
        <w:t>“Sign out everywhere”, a password change and a password reset end every older session at once.</w:t>
      </w:r>
    </w:p>
    <w:p>
      <w:r>
        <w:rPr>
          <w:rFonts w:ascii="Arial" w:hAnsi="Arial" w:eastAsia="Arial"/>
          <w:color w:val="1D1D1F"/>
          <w:sz w:val="21"/>
        </w:rPr>
        <w:t>Sign-in and the public forms are rate-limited. Every sign-in and every failed sign-in is written to the audit log.</w:t>
      </w:r>
    </w:p>
    <w:p>
      <w:pPr>
        <w:pStyle w:val="Heading1"/>
        <w:tabs>
          <w:tab w:pos="652" w:val="left"/>
        </w:tabs>
        <w:ind w:left="652" w:hanging="652"/>
      </w:pPr>
      <w:r>
        <w:rPr>
          <w:rFonts w:ascii="Arial" w:hAnsi="Arial" w:eastAsia="Arial"/>
          <w:color w:val="0071E3"/>
        </w:rPr>
        <w:t>6</w:t>
        <w:tab/>
      </w:r>
      <w:r>
        <w:rPr>
          <w:rFonts w:ascii="Arial" w:hAnsi="Arial" w:eastAsia="Arial"/>
        </w:rPr>
        <w:t>Audit log</w:t>
      </w:r>
    </w:p>
    <w:p>
      <w:r>
        <w:rPr>
          <w:rFonts w:ascii="Arial" w:hAnsi="Arial" w:eastAsia="Arial"/>
          <w:color w:val="1D1D1F"/>
          <w:sz w:val="21"/>
        </w:rPr>
        <w:t>The audit log records who did what, and when. It covers:</w:t>
      </w:r>
    </w:p>
    <w:p>
      <w:pPr>
        <w:pStyle w:val="ListBullet"/>
      </w:pPr>
      <w:r>
        <w:rPr>
          <w:rFonts w:ascii="Arial" w:hAnsi="Arial" w:eastAsia="Arial"/>
          <w:b w:val="0"/>
          <w:sz w:val="21"/>
        </w:rPr>
        <w:t>sign-ins and failed sign-ins;</w:t>
      </w:r>
    </w:p>
    <w:p>
      <w:pPr>
        <w:pStyle w:val="ListBullet"/>
      </w:pPr>
      <w:r>
        <w:rPr>
          <w:rFonts w:ascii="Arial" w:hAnsi="Arial" w:eastAsia="Arial"/>
          <w:b w:val="0"/>
          <w:sz w:val="21"/>
        </w:rPr>
        <w:t>reboots — those ordered from the dashboard and those the device decided on itself;</w:t>
      </w:r>
    </w:p>
    <w:p>
      <w:pPr>
        <w:pStyle w:val="ListBullet"/>
      </w:pPr>
      <w:r>
        <w:rPr>
          <w:rFonts w:ascii="Arial" w:hAnsi="Arial" w:eastAsia="Arial"/>
          <w:b w:val="0"/>
          <w:sz w:val="21"/>
        </w:rPr>
        <w:t>outages: a device marked out of service, and when that ended;</w:t>
      </w:r>
    </w:p>
    <w:p>
      <w:pPr>
        <w:pStyle w:val="ListBullet"/>
      </w:pPr>
      <w:r>
        <w:rPr>
          <w:rFonts w:ascii="Arial" w:hAnsi="Arial" w:eastAsia="Arial"/>
          <w:b w:val="0"/>
          <w:sz w:val="21"/>
        </w:rPr>
        <w:t>configuration changes;</w:t>
      </w:r>
    </w:p>
    <w:p>
      <w:pPr>
        <w:pStyle w:val="ListBullet"/>
      </w:pPr>
      <w:r>
        <w:rPr>
          <w:rFonts w:ascii="Arial" w:hAnsi="Arial" w:eastAsia="Arial"/>
          <w:b w:val="0"/>
          <w:sz w:val="21"/>
        </w:rPr>
        <w:t>user and organisation administration;</w:t>
      </w:r>
    </w:p>
    <w:p>
      <w:pPr>
        <w:pStyle w:val="ListBullet"/>
      </w:pPr>
      <w:r>
        <w:rPr>
          <w:rFonts w:ascii="Arial" w:hAnsi="Arial" w:eastAsia="Arial"/>
          <w:b w:val="0"/>
          <w:sz w:val="21"/>
        </w:rPr>
        <w:t>Organisation API keys and webhooks.</w:t>
      </w:r>
    </w:p>
    <w:p>
      <w:r>
        <w:rPr>
          <w:rFonts w:ascii="Arial" w:hAnsi="Arial" w:eastAsia="Arial"/>
          <w:color w:val="1D1D1F"/>
          <w:sz w:val="21"/>
        </w:rPr>
        <w:t>An organisation's members see their own organisation's trail only.</w:t>
      </w:r>
    </w:p>
    <w:p>
      <w:pPr>
        <w:pStyle w:val="Heading1"/>
        <w:tabs>
          <w:tab w:pos="652" w:val="left"/>
        </w:tabs>
        <w:ind w:left="652" w:hanging="652"/>
      </w:pPr>
      <w:r>
        <w:rPr>
          <w:rFonts w:ascii="Arial" w:hAnsi="Arial" w:eastAsia="Arial"/>
          <w:color w:val="0071E3"/>
        </w:rPr>
        <w:t>7</w:t>
        <w:tab/>
      </w:r>
      <w:r>
        <w:rPr>
          <w:rFonts w:ascii="Arial" w:hAnsi="Arial" w:eastAsia="Arial"/>
        </w:rPr>
        <w:t>Credentials and secrets</w:t>
      </w:r>
    </w:p>
    <w:p>
      <w:r>
        <w:rPr>
          <w:rFonts w:ascii="Arial" w:hAnsi="Arial" w:eastAsia="Arial"/>
          <w:color w:val="1D1D1F"/>
          <w:sz w:val="21"/>
        </w:rPr>
        <w:t>Some features need a login to another system — for example Broadsign, or the web interface of a display controller on a site's network. These credentials, and the secrets used to sign webhooks, are encrypted at rest with authenticated encryption, which detects any tampering with the stored value as well as hiding it. They are never stored on a device.</w:t>
      </w:r>
    </w:p>
    <w:p>
      <w:pPr>
        <w:pStyle w:val="Heading1"/>
        <w:tabs>
          <w:tab w:pos="652" w:val="left"/>
        </w:tabs>
        <w:ind w:left="652" w:hanging="652"/>
      </w:pPr>
      <w:r>
        <w:rPr>
          <w:rFonts w:ascii="Arial" w:hAnsi="Arial" w:eastAsia="Arial"/>
          <w:color w:val="0071E3"/>
        </w:rPr>
        <w:t>8</w:t>
        <w:tab/>
      </w:r>
      <w:r>
        <w:rPr>
          <w:rFonts w:ascii="Arial" w:hAnsi="Arial" w:eastAsia="Arial"/>
        </w:rPr>
        <w:t>Device identity</w:t>
      </w:r>
    </w:p>
    <w:p>
      <w:pPr>
        <w:pStyle w:val="ListBullet"/>
      </w:pPr>
      <w:r>
        <w:rPr>
          <w:rFonts w:ascii="Arial" w:hAnsi="Arial" w:eastAsia="Arial"/>
          <w:b/>
          <w:sz w:val="21"/>
        </w:rPr>
        <w:t xml:space="preserve">A key per player. </w:t>
      </w:r>
      <w:r>
        <w:rPr>
          <w:rFonts w:ascii="Arial" w:hAnsi="Arial" w:eastAsia="Arial"/>
          <w:b w:val="0"/>
          <w:sz w:val="21"/>
        </w:rPr>
        <w:t>Every player holds a key of its own and proves it to the server each time it connects.</w:t>
      </w:r>
    </w:p>
    <w:p>
      <w:pPr>
        <w:pStyle w:val="ListBullet"/>
      </w:pPr>
      <w:r>
        <w:rPr>
          <w:rFonts w:ascii="Arial" w:hAnsi="Arial" w:eastAsia="Arial"/>
          <w:b/>
          <w:sz w:val="21"/>
        </w:rPr>
        <w:t xml:space="preserve">One-time install tokens. </w:t>
      </w:r>
      <w:r>
        <w:rPr>
          <w:rFonts w:ascii="Arial" w:hAnsi="Arial" w:eastAsia="Arial"/>
          <w:b w:val="0"/>
          <w:sz w:val="21"/>
        </w:rPr>
        <w:t>A new player joins only with a one-time install token made for that installation.</w:t>
      </w:r>
    </w:p>
    <w:p>
      <w:pPr>
        <w:pStyle w:val="ListBullet"/>
      </w:pPr>
      <w:r>
        <w:rPr>
          <w:rFonts w:ascii="Arial" w:hAnsi="Arial" w:eastAsia="Arial"/>
          <w:b/>
          <w:sz w:val="21"/>
        </w:rPr>
        <w:t xml:space="preserve">Messages bound to their connection. </w:t>
      </w:r>
      <w:r>
        <w:rPr>
          <w:rFonts w:ascii="Arial" w:hAnsi="Arial" w:eastAsia="Arial"/>
          <w:b w:val="0"/>
          <w:sz w:val="21"/>
        </w:rPr>
        <w:t>A message from a device is accepted only on that device's own authenticated connection, so one player cannot speak for another.</w:t>
      </w:r>
    </w:p>
    <w:p>
      <w:pPr>
        <w:pStyle w:val="Heading1"/>
        <w:tabs>
          <w:tab w:pos="652" w:val="left"/>
        </w:tabs>
        <w:ind w:left="652" w:hanging="652"/>
      </w:pPr>
      <w:r>
        <w:rPr>
          <w:rFonts w:ascii="Arial" w:hAnsi="Arial" w:eastAsia="Arial"/>
          <w:color w:val="0071E3"/>
        </w:rPr>
        <w:t>9</w:t>
        <w:tab/>
      </w:r>
      <w:r>
        <w:rPr>
          <w:rFonts w:ascii="Arial" w:hAnsi="Arial" w:eastAsia="Arial"/>
        </w:rPr>
        <w:t>Software updates and the device agent</w:t>
      </w:r>
    </w:p>
    <w:p>
      <w:r>
        <w:rPr>
          <w:rFonts w:ascii="Arial" w:hAnsi="Arial" w:eastAsia="Arial"/>
          <w:color w:val="1D1D1F"/>
          <w:sz w:val="21"/>
        </w:rPr>
        <w:t>Each player runs the Screenry agent as a system service. It reports status and screen captures, runs the black-screen and missing-output watch, and carries out commands. These properties limit what can go wrong:</w:t>
      </w:r>
    </w:p>
    <w:p>
      <w:pPr>
        <w:pStyle w:val="Heading2"/>
      </w:pPr>
      <w:r>
        <w:rPr>
          <w:rFonts w:ascii="Arial" w:hAnsi="Arial" w:eastAsia="Arial"/>
        </w:rPr>
        <w:t>Releases are signed</w:t>
      </w:r>
    </w:p>
    <w:p>
      <w:r>
        <w:rPr>
          <w:rFonts w:ascii="Arial" w:hAnsi="Arial" w:eastAsia="Arial"/>
          <w:color w:val="1D1D1F"/>
          <w:sz w:val="21"/>
        </w:rPr>
        <w:t>Every agent release is signed (Ed25519). A player checks the signature before anything is unpacked or run, and refuses a package whose signature does not verify.</w:t>
      </w:r>
    </w:p>
    <w:p>
      <w:pPr>
        <w:pStyle w:val="Heading2"/>
      </w:pPr>
      <w:r>
        <w:rPr>
          <w:rFonts w:ascii="Arial" w:hAnsi="Arial" w:eastAsia="Arial"/>
        </w:rPr>
        <w:t>Updates roll back on their own</w:t>
      </w:r>
    </w:p>
    <w:p>
      <w:r>
        <w:rPr>
          <w:rFonts w:ascii="Arial" w:hAnsi="Arial" w:eastAsia="Arial"/>
          <w:color w:val="1D1D1F"/>
          <w:sz w:val="21"/>
        </w:rPr>
        <w:t>If a new release will not start, the player restores the last good version without anyone logging in. Measured on a device: back online in 51 seconds.</w:t>
      </w:r>
    </w:p>
    <w:p>
      <w:pPr>
        <w:pStyle w:val="Heading2"/>
      </w:pPr>
      <w:r>
        <w:rPr>
          <w:rFonts w:ascii="Arial" w:hAnsi="Arial" w:eastAsia="Arial"/>
        </w:rPr>
        <w:t>Commands are role-checked on the server</w:t>
      </w:r>
    </w:p>
    <w:p>
      <w:r>
        <w:rPr>
          <w:rFonts w:ascii="Arial" w:hAnsi="Arial" w:eastAsia="Arial"/>
          <w:color w:val="1D1D1F"/>
          <w:sz w:val="21"/>
        </w:rPr>
        <w:t>A command is accepted only from a user whose role allows it. An Operator can reboot a device or mark it out of service, but cannot change its configuration or reach its local network.</w:t>
      </w:r>
    </w:p>
    <w:p>
      <w:pPr>
        <w:pStyle w:val="Heading2"/>
      </w:pPr>
      <w:r>
        <w:rPr>
          <w:rFonts w:ascii="Arial" w:hAnsi="Arial" w:eastAsia="Arial"/>
        </w:rPr>
        <w:t>Site network scanning can be switched off</w:t>
      </w:r>
    </w:p>
    <w:p>
      <w:r>
        <w:rPr>
          <w:rFonts w:ascii="Arial" w:hAnsi="Arial" w:eastAsia="Arial"/>
          <w:color w:val="1D1D1F"/>
          <w:sz w:val="21"/>
        </w:rPr>
        <w:t>On Operate and Premium the agent can inventory the site's local network — controllers, sister players, sensors — and read controller status. Where a customer's network policy does not allow that, it is switched off per device. Off means no network sweep, no port probes and no controller readings, and the setting is remembered by the device across restarts. With scanning off, a remote tunnel cannot reach the site network either (section 10).</w:t>
      </w:r>
    </w:p>
    <w:p>
      <w:pPr>
        <w:pStyle w:val="Heading2"/>
      </w:pPr>
      <w:r>
        <w:rPr>
          <w:rFonts w:ascii="Arial" w:hAnsi="Arial" w:eastAsia="Arial"/>
        </w:rPr>
        <w:t>Automatic reboots are capped</w:t>
      </w:r>
    </w:p>
    <w:p>
      <w:r>
        <w:rPr>
          <w:rFonts w:ascii="Arial" w:hAnsi="Arial" w:eastAsia="Arial"/>
          <w:color w:val="1D1D1F"/>
          <w:sz w:val="21"/>
        </w:rPr>
        <w:t>At most three automatic reboots per device per day, the third only in the 03–05 night window. Every one is written to the audit log. The optional hardware watchdog, which restarts a frozen player, follows the same capped ladder.</w:t>
      </w:r>
    </w:p>
    <w:p>
      <w:pPr>
        <w:pStyle w:val="Heading1"/>
        <w:tabs>
          <w:tab w:pos="652" w:val="left"/>
        </w:tabs>
        <w:ind w:left="652" w:hanging="652"/>
      </w:pPr>
      <w:r>
        <w:rPr>
          <w:rFonts w:ascii="Arial" w:hAnsi="Arial" w:eastAsia="Arial"/>
          <w:color w:val="0071E3"/>
        </w:rPr>
        <w:t>10</w:t>
        <w:tab/>
      </w:r>
      <w:r>
        <w:rPr>
          <w:rFonts w:ascii="Arial" w:hAnsi="Arial" w:eastAsia="Arial"/>
        </w:rPr>
        <w:t>Remote access</w:t>
      </w:r>
    </w:p>
    <w:p>
      <w:r>
        <w:rPr>
          <w:rFonts w:ascii="Arial" w:hAnsi="Arial" w:eastAsia="Arial"/>
          <w:color w:val="1D1D1F"/>
          <w:sz w:val="21"/>
        </w:rPr>
        <w:t>On Operate and Premium, admins can reach a player for diagnostics: through a browser terminal, and through the screenry command line, which carries SSH and port forwarding over the player's own connection.</w:t>
      </w:r>
    </w:p>
    <w:p>
      <w:pPr>
        <w:pStyle w:val="Heading2"/>
      </w:pPr>
      <w:r>
        <w:rPr>
          <w:rFonts w:ascii="Arial" w:hAnsi="Arial" w:eastAsia="Arial"/>
        </w:rPr>
        <w:t>Browser terminal</w:t>
      </w:r>
    </w:p>
    <w:p>
      <w:pPr>
        <w:pStyle w:val="ListBullet"/>
      </w:pPr>
      <w:r>
        <w:rPr>
          <w:rFonts w:ascii="Arial" w:hAnsi="Arial" w:eastAsia="Arial"/>
          <w:b w:val="0"/>
          <w:sz w:val="21"/>
        </w:rPr>
        <w:t>for organisation and platform admins only, and never from a “view as” session;</w:t>
      </w:r>
    </w:p>
    <w:p>
      <w:pPr>
        <w:pStyle w:val="ListBullet"/>
      </w:pPr>
      <w:r>
        <w:rPr>
          <w:rFonts w:ascii="Arial" w:hAnsi="Arial" w:eastAsia="Arial"/>
          <w:b w:val="0"/>
          <w:sz w:val="21"/>
        </w:rPr>
        <w:t>the password is asked again before a session opens;</w:t>
      </w:r>
    </w:p>
    <w:p>
      <w:pPr>
        <w:pStyle w:val="ListBullet"/>
      </w:pPr>
      <w:r>
        <w:rPr>
          <w:rFonts w:ascii="Arial" w:hAnsi="Arial" w:eastAsia="Arial"/>
          <w:b w:val="0"/>
          <w:sz w:val="21"/>
        </w:rPr>
        <w:t>what the screen showed is recorded — never keystrokes — and the recording is kept 90 days.</w:t>
      </w:r>
    </w:p>
    <w:p>
      <w:pPr>
        <w:pStyle w:val="Heading2"/>
      </w:pPr>
      <w:r>
        <w:rPr>
          <w:rFonts w:ascii="Arial" w:hAnsi="Arial" w:eastAsia="Arial"/>
        </w:rPr>
        <w:t>Tunnels</w:t>
      </w:r>
    </w:p>
    <w:p>
      <w:pPr>
        <w:pStyle w:val="ListBullet"/>
      </w:pPr>
      <w:r>
        <w:rPr>
          <w:rFonts w:ascii="Arial" w:hAnsi="Arial" w:eastAsia="Arial"/>
          <w:b w:val="0"/>
          <w:sz w:val="21"/>
        </w:rPr>
        <w:t>a tunnel records who opened it, where it went and how much passed — never what passes through;</w:t>
      </w:r>
    </w:p>
    <w:p>
      <w:pPr>
        <w:pStyle w:val="ListBullet"/>
      </w:pPr>
      <w:r>
        <w:rPr>
          <w:rFonts w:ascii="Arial" w:hAnsi="Arial" w:eastAsia="Arial"/>
          <w:b w:val="0"/>
          <w:sz w:val="21"/>
        </w:rPr>
        <w:t>it reaches only the player itself or a private address on the player's site network, and the site network only while site network scanning is on for that device.</w:t>
      </w:r>
    </w:p>
    <w:p>
      <w:pPr>
        <w:pStyle w:val="Heading1"/>
        <w:tabs>
          <w:tab w:pos="652" w:val="left"/>
        </w:tabs>
        <w:ind w:left="652" w:hanging="652"/>
      </w:pPr>
      <w:r>
        <w:rPr>
          <w:rFonts w:ascii="Arial" w:hAnsi="Arial" w:eastAsia="Arial"/>
          <w:color w:val="0071E3"/>
        </w:rPr>
        <w:t>11</w:t>
        <w:tab/>
      </w:r>
      <w:r>
        <w:rPr>
          <w:rFonts w:ascii="Arial" w:hAnsi="Arial" w:eastAsia="Arial"/>
        </w:rPr>
        <w:t>Organisation API and webhooks</w:t>
      </w:r>
    </w:p>
    <w:p>
      <w:r>
        <w:rPr>
          <w:rFonts w:ascii="Arial" w:hAnsi="Arial" w:eastAsia="Arial"/>
          <w:color w:val="1D1D1F"/>
          <w:sz w:val="21"/>
        </w:rPr>
        <w:t>Every plan includes an API through which an organisation's own systems read its devices, incidents and latest screenshots, and signed webhooks for device events (offline and online, screen problems, watchdog restarts, out of service).</w:t>
      </w:r>
    </w:p>
    <w:p>
      <w:pPr>
        <w:pStyle w:val="ListBullet"/>
      </w:pPr>
      <w:r>
        <w:rPr>
          <w:rFonts w:ascii="Arial" w:hAnsi="Arial" w:eastAsia="Arial"/>
          <w:b/>
          <w:sz w:val="21"/>
        </w:rPr>
        <w:t xml:space="preserve">Owned by the organisation. </w:t>
      </w:r>
      <w:r>
        <w:rPr>
          <w:rFonts w:ascii="Arial" w:hAnsi="Arial" w:eastAsia="Arial"/>
          <w:b w:val="0"/>
          <w:sz w:val="21"/>
        </w:rPr>
        <w:t>Keys belong to the organisation. Screenry stores only a fingerprint of a key, never the key itself.</w:t>
      </w:r>
    </w:p>
    <w:p>
      <w:pPr>
        <w:pStyle w:val="ListBullet"/>
      </w:pPr>
      <w:r>
        <w:rPr>
          <w:rFonts w:ascii="Arial" w:hAnsi="Arial" w:eastAsia="Arial"/>
          <w:b/>
          <w:sz w:val="21"/>
        </w:rPr>
        <w:t xml:space="preserve">Expiring and revocable. </w:t>
      </w:r>
      <w:r>
        <w:rPr>
          <w:rFonts w:ascii="Arial" w:hAnsi="Arial" w:eastAsia="Arial"/>
          <w:b w:val="0"/>
          <w:sz w:val="21"/>
        </w:rPr>
        <w:t>A key expires — at most a year after it was made — can be limited to listed addresses, and can be revoked at once.</w:t>
      </w:r>
    </w:p>
    <w:p>
      <w:pPr>
        <w:pStyle w:val="ListBullet"/>
      </w:pPr>
      <w:r>
        <w:rPr>
          <w:rFonts w:ascii="Arial" w:hAnsi="Arial" w:eastAsia="Arial"/>
          <w:b/>
          <w:sz w:val="21"/>
        </w:rPr>
        <w:t xml:space="preserve">Scoped. </w:t>
      </w:r>
      <w:r>
        <w:rPr>
          <w:rFonts w:ascii="Arial" w:hAnsi="Arial" w:eastAsia="Arial"/>
          <w:b w:val="0"/>
          <w:sz w:val="21"/>
        </w:rPr>
        <w:t>A key reads only its own organisation's devices, and only what its scopes and the organisation's plan allow.</w:t>
      </w:r>
    </w:p>
    <w:p>
      <w:pPr>
        <w:pStyle w:val="ListBullet"/>
      </w:pPr>
      <w:r>
        <w:rPr>
          <w:rFonts w:ascii="Arial" w:hAnsi="Arial" w:eastAsia="Arial"/>
          <w:b/>
          <w:sz w:val="21"/>
        </w:rPr>
        <w:t xml:space="preserve">Signed webhooks. </w:t>
      </w:r>
      <w:r>
        <w:rPr>
          <w:rFonts w:ascii="Arial" w:hAnsi="Arial" w:eastAsia="Arial"/>
          <w:b w:val="0"/>
          <w:sz w:val="21"/>
        </w:rPr>
        <w:t>Webhooks are signed (Standard Webhooks), so the receiver can check they came from Screenry, and they are sent only to public HTTPS addresses.</w:t>
      </w:r>
    </w:p>
    <w:p>
      <w:r>
        <w:rPr>
          <w:rFonts w:ascii="Arial" w:hAnsi="Arial" w:eastAsia="Arial"/>
          <w:color w:val="1D1D1F"/>
          <w:sz w:val="21"/>
        </w:rPr>
        <w:t>Changes to API keys and webhooks are written to the audit log.</w:t>
      </w:r>
    </w:p>
    <w:p>
      <w:pPr>
        <w:pStyle w:val="Heading1"/>
        <w:tabs>
          <w:tab w:pos="652" w:val="left"/>
        </w:tabs>
        <w:ind w:left="652" w:hanging="652"/>
      </w:pPr>
      <w:r>
        <w:rPr>
          <w:rFonts w:ascii="Arial" w:hAnsi="Arial" w:eastAsia="Arial"/>
          <w:color w:val="0071E3"/>
        </w:rPr>
        <w:t>12</w:t>
        <w:tab/>
      </w:r>
      <w:r>
        <w:rPr>
          <w:rFonts w:ascii="Arial" w:hAnsi="Arial" w:eastAsia="Arial"/>
        </w:rPr>
        <w:t>Public website</w:t>
      </w:r>
    </w:p>
    <w:p>
      <w:r>
        <w:rPr>
          <w:rFonts w:ascii="Arial" w:hAnsi="Arial" w:eastAsia="Arial"/>
          <w:color w:val="1D1D1F"/>
          <w:sz w:val="21"/>
        </w:rPr>
        <w:t>screenry.io sets no cookies and stores nothing in the visitor's browser, so it needs no consent banner. Visits are counted with an anonymous hash that changes every day: it can tell how many different visitors came on one day and nothing more, and it cannot follow anyone from one day to the next. The IP address is never stored. Automated traffic is recognised and left out of every count.</w:t>
      </w:r>
    </w:p>
    <w:p>
      <w:r>
        <w:rPr>
          <w:rFonts w:ascii="Arial" w:hAnsi="Arial" w:eastAsia="Arial"/>
          <w:color w:val="1D1D1F"/>
          <w:sz w:val="21"/>
        </w:rPr>
        <w:t>When someone asks for a demo or a document, we answer that request. Follow-up e-mails go only to people who ticked the consent box, which is unticked by default, and every e-mail carries an unsubscribe link that stops them at once.</w:t>
      </w:r>
    </w:p>
    <w:p>
      <w:pPr>
        <w:pStyle w:val="Heading1"/>
        <w:tabs>
          <w:tab w:pos="652" w:val="left"/>
        </w:tabs>
        <w:ind w:left="652" w:hanging="652"/>
      </w:pPr>
      <w:r>
        <w:rPr>
          <w:rFonts w:ascii="Arial" w:hAnsi="Arial" w:eastAsia="Arial"/>
          <w:color w:val="0071E3"/>
        </w:rPr>
        <w:t>13</w:t>
        <w:tab/>
      </w:r>
      <w:r>
        <w:rPr>
          <w:rFonts w:ascii="Arial" w:hAnsi="Arial" w:eastAsia="Arial"/>
        </w:rPr>
        <w:t>Data retention</w:t>
      </w:r>
    </w:p>
    <w:p>
      <w:r>
        <w:rPr>
          <w:rFonts w:ascii="Arial" w:hAnsi="Arial" w:eastAsia="Arial"/>
          <w:color w:val="1D1D1F"/>
          <w:sz w:val="21"/>
        </w:rPr>
        <w:t>Operational data is deleted on a schedule. Deletion runs per device, and every sweep is claimed by one server instance at a time.</w:t>
      </w:r>
    </w:p>
    <w:tbl>
      <w:tblPr>
        <w:tblW w:type="dxa" w:w="9072"/>
        <w:jc w:val="left"/>
        <w:tblBorders>
          <w:top w:val="single" w:sz="4" w:color="E3E3E8"/>
          <w:bottom w:val="single" w:sz="4" w:color="E3E3E8"/>
          <w:insideH w:val="single" w:sz="4" w:color="E3E3E8"/>
          <w:left w:val="nil"/>
          <w:right w:val="nil"/>
          <w:insideV w:val="nil"/>
        </w:tblBorders>
        <w:tblLayout w:type="fixed"/>
        <w:tblCellMar>
          <w:top w:w="90" w:type="dxa"/>
          <w:left w:w="110" w:type="dxa"/>
          <w:bottom w:w="90" w:type="dxa"/>
          <w:right w:w="110" w:type="dxa"/>
        </w:tblCellMar>
        <w:tblLook w:firstColumn="1" w:firstRow="1" w:lastColumn="0" w:lastRow="0" w:noHBand="0" w:noVBand="1" w:val="04A0"/>
      </w:tblPr>
      <w:tblGrid>
        <w:gridCol w:w="2154"/>
        <w:gridCol w:w="2494"/>
        <w:gridCol w:w="4422"/>
      </w:tblGrid>
      <w:tr>
        <w:trPr>
          <w:tblHeader w:val="true"/>
          <w:cantSplit w:val="true"/>
        </w:trPr>
        <w:tc>
          <w:tcPr>
            <w:tcW w:type="dxa" w:w="2154"/>
            <w:shd w:val="clear" w:color="auto" w:fill="F5F5F7"/>
          </w:tcPr>
          <w:p>
            <w:pPr>
              <w:spacing w:after="0" w:line="276" w:lineRule="auto"/>
            </w:pPr>
            <w:r>
              <w:rPr>
                <w:rFonts w:ascii="Arial" w:hAnsi="Arial" w:eastAsia="Arial"/>
                <w:b/>
                <w:color w:val="1D1D1F"/>
                <w:sz w:val="18"/>
              </w:rPr>
              <w:t>Data</w:t>
            </w:r>
          </w:p>
        </w:tc>
        <w:tc>
          <w:tcPr>
            <w:tcW w:type="dxa" w:w="2494"/>
            <w:shd w:val="clear" w:color="auto" w:fill="F5F5F7"/>
          </w:tcPr>
          <w:p>
            <w:pPr>
              <w:spacing w:after="0" w:line="276" w:lineRule="auto"/>
            </w:pPr>
            <w:r>
              <w:rPr>
                <w:rFonts w:ascii="Arial" w:hAnsi="Arial" w:eastAsia="Arial"/>
                <w:b/>
                <w:color w:val="1D1D1F"/>
                <w:sz w:val="18"/>
              </w:rPr>
              <w:t>Kept for</w:t>
            </w:r>
          </w:p>
        </w:tc>
        <w:tc>
          <w:tcPr>
            <w:tcW w:type="dxa" w:w="4422"/>
            <w:shd w:val="clear" w:color="auto" w:fill="F5F5F7"/>
          </w:tcPr>
          <w:p>
            <w:pPr>
              <w:spacing w:after="0" w:line="276" w:lineRule="auto"/>
            </w:pPr>
            <w:r>
              <w:rPr>
                <w:rFonts w:ascii="Arial" w:hAnsi="Arial" w:eastAsia="Arial"/>
                <w:b/>
                <w:color w:val="1D1D1F"/>
                <w:sz w:val="18"/>
              </w:rPr>
              <w:t>Notes</w:t>
            </w:r>
          </w:p>
        </w:tc>
      </w:tr>
      <w:tr>
        <w:trPr>
          <w:cantSplit w:val="true"/>
        </w:trPr>
        <w:tc>
          <w:tcPr>
            <w:tcW w:type="dxa" w:w="2154"/>
          </w:tcPr>
          <w:p>
            <w:pPr>
              <w:spacing w:after="0" w:line="276" w:lineRule="auto"/>
            </w:pPr>
            <w:r>
              <w:rPr>
                <w:rFonts w:ascii="Arial" w:hAnsi="Arial" w:eastAsia="Arial"/>
                <w:b/>
                <w:color w:val="1D1D1F"/>
                <w:sz w:val="19"/>
              </w:rPr>
              <w:t>Screen captures</w:t>
            </w:r>
          </w:p>
        </w:tc>
        <w:tc>
          <w:tcPr>
            <w:tcW w:type="dxa" w:w="2494"/>
          </w:tcPr>
          <w:p>
            <w:pPr>
              <w:spacing w:after="0" w:line="276" w:lineRule="auto"/>
            </w:pPr>
            <w:r>
              <w:rPr>
                <w:rFonts w:ascii="Arial" w:hAnsi="Arial" w:eastAsia="Arial"/>
                <w:b w:val="0"/>
                <w:color w:val="1D1D1F"/>
                <w:sz w:val="19"/>
              </w:rPr>
              <w:t>24 hours behind each device's newest capture</w:t>
            </w:r>
          </w:p>
        </w:tc>
        <w:tc>
          <w:tcPr>
            <w:tcW w:type="dxa" w:w="4422"/>
          </w:tcPr>
          <w:p>
            <w:pPr>
              <w:spacing w:after="0" w:line="276" w:lineRule="auto"/>
            </w:pPr>
            <w:r>
              <w:rPr>
                <w:rFonts w:ascii="Arial" w:hAnsi="Arial" w:eastAsia="Arial"/>
                <w:b w:val="0"/>
                <w:color w:val="1D1D1F"/>
                <w:sz w:val="19"/>
              </w:rPr>
              <w:t>The newest capture of every device is always kept.</w:t>
            </w:r>
          </w:p>
        </w:tc>
      </w:tr>
      <w:tr>
        <w:trPr>
          <w:cantSplit w:val="true"/>
        </w:trPr>
        <w:tc>
          <w:tcPr>
            <w:tcW w:type="dxa" w:w="2154"/>
          </w:tcPr>
          <w:p>
            <w:pPr>
              <w:spacing w:after="0" w:line="276" w:lineRule="auto"/>
            </w:pPr>
            <w:r>
              <w:rPr>
                <w:rFonts w:ascii="Arial" w:hAnsi="Arial" w:eastAsia="Arial"/>
                <w:b/>
                <w:color w:val="1D1D1F"/>
                <w:sz w:val="19"/>
              </w:rPr>
              <w:t>Screenshot history</w:t>
            </w:r>
          </w:p>
        </w:tc>
        <w:tc>
          <w:tcPr>
            <w:tcW w:type="dxa" w:w="2494"/>
          </w:tcPr>
          <w:p>
            <w:pPr>
              <w:spacing w:after="0" w:line="276" w:lineRule="auto"/>
            </w:pPr>
            <w:r>
              <w:rPr>
                <w:rFonts w:ascii="Arial" w:hAnsi="Arial" w:eastAsia="Arial"/>
                <w:b w:val="0"/>
                <w:color w:val="1D1D1F"/>
                <w:sz w:val="19"/>
              </w:rPr>
              <w:t>Four weeks</w:t>
            </w:r>
          </w:p>
        </w:tc>
        <w:tc>
          <w:tcPr>
            <w:tcW w:type="dxa" w:w="4422"/>
          </w:tcPr>
          <w:p>
            <w:pPr>
              <w:spacing w:after="0" w:line="276" w:lineRule="auto"/>
            </w:pPr>
            <w:r>
              <w:rPr>
                <w:rFonts w:ascii="Arial" w:hAnsi="Arial" w:eastAsia="Arial"/>
                <w:b w:val="0"/>
                <w:color w:val="1D1D1F"/>
                <w:sz w:val="19"/>
              </w:rPr>
              <w:t>A capture every 53 seconds, kept in a private storage bucket — never a public one.</w:t>
            </w:r>
          </w:p>
        </w:tc>
      </w:tr>
      <w:tr>
        <w:trPr>
          <w:cantSplit w:val="true"/>
        </w:trPr>
        <w:tc>
          <w:tcPr>
            <w:tcW w:type="dxa" w:w="2154"/>
          </w:tcPr>
          <w:p>
            <w:pPr>
              <w:spacing w:after="0" w:line="276" w:lineRule="auto"/>
            </w:pPr>
            <w:r>
              <w:rPr>
                <w:rFonts w:ascii="Arial" w:hAnsi="Arial" w:eastAsia="Arial"/>
                <w:b/>
                <w:color w:val="1D1D1F"/>
                <w:sz w:val="19"/>
              </w:rPr>
              <w:t>Raw telemetry</w:t>
            </w:r>
          </w:p>
        </w:tc>
        <w:tc>
          <w:tcPr>
            <w:tcW w:type="dxa" w:w="2494"/>
          </w:tcPr>
          <w:p>
            <w:pPr>
              <w:spacing w:after="0" w:line="276" w:lineRule="auto"/>
            </w:pPr>
            <w:r>
              <w:rPr>
                <w:rFonts w:ascii="Arial" w:hAnsi="Arial" w:eastAsia="Arial"/>
                <w:b w:val="0"/>
                <w:color w:val="1D1D1F"/>
                <w:sz w:val="19"/>
              </w:rPr>
              <w:t>35 days</w:t>
            </w:r>
          </w:p>
        </w:tc>
        <w:tc>
          <w:tcPr>
            <w:tcW w:type="dxa" w:w="4422"/>
          </w:tcPr>
          <w:p>
            <w:pPr>
              <w:spacing w:after="0" w:line="276" w:lineRule="auto"/>
            </w:pPr>
            <w:r>
              <w:rPr>
                <w:rFonts w:ascii="Arial" w:hAnsi="Arial" w:eastAsia="Arial"/>
                <w:b w:val="0"/>
                <w:color w:val="1D1D1F"/>
                <w:sz w:val="19"/>
              </w:rPr>
              <w:t>Heartbeats and connectivity probes.</w:t>
            </w:r>
          </w:p>
        </w:tc>
      </w:tr>
      <w:tr>
        <w:trPr>
          <w:cantSplit w:val="true"/>
        </w:trPr>
        <w:tc>
          <w:tcPr>
            <w:tcW w:type="dxa" w:w="2154"/>
          </w:tcPr>
          <w:p>
            <w:pPr>
              <w:spacing w:after="0" w:line="276" w:lineRule="auto"/>
            </w:pPr>
            <w:r>
              <w:rPr>
                <w:rFonts w:ascii="Arial" w:hAnsi="Arial" w:eastAsia="Arial"/>
                <w:b/>
                <w:color w:val="1D1D1F"/>
                <w:sz w:val="19"/>
              </w:rPr>
              <w:t>Raw play rows</w:t>
            </w:r>
          </w:p>
        </w:tc>
        <w:tc>
          <w:tcPr>
            <w:tcW w:type="dxa" w:w="2494"/>
          </w:tcPr>
          <w:p>
            <w:pPr>
              <w:spacing w:after="0" w:line="276" w:lineRule="auto"/>
            </w:pPr>
            <w:r>
              <w:rPr>
                <w:rFonts w:ascii="Arial" w:hAnsi="Arial" w:eastAsia="Arial"/>
                <w:b w:val="0"/>
                <w:color w:val="1D1D1F"/>
                <w:sz w:val="19"/>
              </w:rPr>
              <w:t>30 days</w:t>
            </w:r>
          </w:p>
        </w:tc>
        <w:tc>
          <w:tcPr>
            <w:tcW w:type="dxa" w:w="4422"/>
          </w:tcPr>
          <w:p>
            <w:pPr>
              <w:spacing w:after="0" w:line="276" w:lineRule="auto"/>
            </w:pPr>
            <w:r>
              <w:rPr>
                <w:rFonts w:ascii="Arial" w:hAnsi="Arial" w:eastAsia="Arial"/>
                <w:b w:val="0"/>
                <w:color w:val="1D1D1F"/>
                <w:sz w:val="19"/>
              </w:rPr>
              <w:t>One row per airing. A day of raw rows is deleted only after the hourly roll-up sums to exactly the raw count for that day.</w:t>
            </w:r>
          </w:p>
        </w:tc>
      </w:tr>
      <w:tr>
        <w:trPr>
          <w:cantSplit w:val="true"/>
        </w:trPr>
        <w:tc>
          <w:tcPr>
            <w:tcW w:type="dxa" w:w="2154"/>
          </w:tcPr>
          <w:p>
            <w:pPr>
              <w:spacing w:after="0" w:line="276" w:lineRule="auto"/>
            </w:pPr>
            <w:r>
              <w:rPr>
                <w:rFonts w:ascii="Arial" w:hAnsi="Arial" w:eastAsia="Arial"/>
                <w:b/>
                <w:color w:val="1D1D1F"/>
                <w:sz w:val="19"/>
              </w:rPr>
              <w:t>Hourly play roll-up</w:t>
            </w:r>
          </w:p>
        </w:tc>
        <w:tc>
          <w:tcPr>
            <w:tcW w:type="dxa" w:w="2494"/>
          </w:tcPr>
          <w:p>
            <w:pPr>
              <w:spacing w:after="0" w:line="276" w:lineRule="auto"/>
            </w:pPr>
            <w:r>
              <w:rPr>
                <w:rFonts w:ascii="Arial" w:hAnsi="Arial" w:eastAsia="Arial"/>
                <w:b w:val="0"/>
                <w:color w:val="1D1D1F"/>
                <w:sz w:val="19"/>
              </w:rPr>
              <w:t>Kept as the analytical record</w:t>
            </w:r>
          </w:p>
        </w:tc>
        <w:tc>
          <w:tcPr>
            <w:tcW w:type="dxa" w:w="4422"/>
          </w:tcPr>
          <w:p>
            <w:pPr>
              <w:spacing w:after="0" w:line="276" w:lineRule="auto"/>
            </w:pPr>
            <w:r>
              <w:rPr>
                <w:rFonts w:ascii="Arial" w:hAnsi="Arial" w:eastAsia="Arial"/>
                <w:b w:val="0"/>
                <w:color w:val="1D1D1F"/>
                <w:sz w:val="19"/>
              </w:rPr>
              <w:t>One row per hour, device and creative — the basis of proof-of-play and audience reports.</w:t>
            </w:r>
          </w:p>
        </w:tc>
      </w:tr>
      <w:tr>
        <w:trPr>
          <w:cantSplit w:val="true"/>
        </w:trPr>
        <w:tc>
          <w:tcPr>
            <w:tcW w:type="dxa" w:w="2154"/>
          </w:tcPr>
          <w:p>
            <w:pPr>
              <w:spacing w:after="0" w:line="276" w:lineRule="auto"/>
            </w:pPr>
            <w:r>
              <w:rPr>
                <w:rFonts w:ascii="Arial" w:hAnsi="Arial" w:eastAsia="Arial"/>
                <w:b/>
                <w:color w:val="1D1D1F"/>
                <w:sz w:val="19"/>
              </w:rPr>
              <w:t>Screen recordings</w:t>
            </w:r>
          </w:p>
        </w:tc>
        <w:tc>
          <w:tcPr>
            <w:tcW w:type="dxa" w:w="2494"/>
          </w:tcPr>
          <w:p>
            <w:pPr>
              <w:spacing w:after="0" w:line="276" w:lineRule="auto"/>
            </w:pPr>
            <w:r>
              <w:rPr>
                <w:rFonts w:ascii="Arial" w:hAnsi="Arial" w:eastAsia="Arial"/>
                <w:b w:val="0"/>
                <w:color w:val="1D1D1F"/>
                <w:sz w:val="19"/>
              </w:rPr>
              <w:t>Until the next 03:00 (at most 26 hours)</w:t>
            </w:r>
          </w:p>
        </w:tc>
        <w:tc>
          <w:tcPr>
            <w:tcW w:type="dxa" w:w="4422"/>
          </w:tcPr>
          <w:p>
            <w:pPr>
              <w:spacing w:after="0" w:line="276" w:lineRule="auto"/>
            </w:pPr>
            <w:r>
              <w:rPr>
                <w:rFonts w:ascii="Arial" w:hAnsi="Arial" w:eastAsia="Arial"/>
                <w:b w:val="0"/>
                <w:color w:val="1D1D1F"/>
                <w:sz w:val="19"/>
              </w:rPr>
              <w:t>The share link stops working when the recording is deleted.</w:t>
            </w:r>
          </w:p>
        </w:tc>
      </w:tr>
      <w:tr>
        <w:trPr>
          <w:cantSplit w:val="true"/>
        </w:trPr>
        <w:tc>
          <w:tcPr>
            <w:tcW w:type="dxa" w:w="2154"/>
          </w:tcPr>
          <w:p>
            <w:pPr>
              <w:spacing w:after="0" w:line="276" w:lineRule="auto"/>
            </w:pPr>
            <w:r>
              <w:rPr>
                <w:rFonts w:ascii="Arial" w:hAnsi="Arial" w:eastAsia="Arial"/>
                <w:b/>
                <w:color w:val="1D1D1F"/>
                <w:sz w:val="19"/>
              </w:rPr>
              <w:t>Terminal recordings</w:t>
            </w:r>
          </w:p>
        </w:tc>
        <w:tc>
          <w:tcPr>
            <w:tcW w:type="dxa" w:w="2494"/>
          </w:tcPr>
          <w:p>
            <w:pPr>
              <w:spacing w:after="0" w:line="276" w:lineRule="auto"/>
            </w:pPr>
            <w:r>
              <w:rPr>
                <w:rFonts w:ascii="Arial" w:hAnsi="Arial" w:eastAsia="Arial"/>
                <w:b w:val="0"/>
                <w:color w:val="1D1D1F"/>
                <w:sz w:val="19"/>
              </w:rPr>
              <w:t>90 days</w:t>
            </w:r>
          </w:p>
        </w:tc>
        <w:tc>
          <w:tcPr>
            <w:tcW w:type="dxa" w:w="4422"/>
          </w:tcPr>
          <w:p>
            <w:pPr>
              <w:spacing w:after="0" w:line="276" w:lineRule="auto"/>
            </w:pPr>
            <w:r>
              <w:rPr>
                <w:rFonts w:ascii="Arial" w:hAnsi="Arial" w:eastAsia="Arial"/>
                <w:b w:val="0"/>
                <w:color w:val="1D1D1F"/>
                <w:sz w:val="19"/>
              </w:rPr>
              <w:t>What the screen showed during a browser terminal session — never keystrokes.</w:t>
            </w:r>
          </w:p>
        </w:tc>
      </w:tr>
      <w:tr>
        <w:trPr>
          <w:cantSplit w:val="true"/>
        </w:trPr>
        <w:tc>
          <w:tcPr>
            <w:tcW w:type="dxa" w:w="2154"/>
          </w:tcPr>
          <w:p>
            <w:pPr>
              <w:spacing w:after="0" w:line="276" w:lineRule="auto"/>
            </w:pPr>
            <w:r>
              <w:rPr>
                <w:rFonts w:ascii="Arial" w:hAnsi="Arial" w:eastAsia="Arial"/>
                <w:b/>
                <w:color w:val="1D1D1F"/>
                <w:sz w:val="19"/>
              </w:rPr>
              <w:t>Webhook deliveries</w:t>
            </w:r>
          </w:p>
        </w:tc>
        <w:tc>
          <w:tcPr>
            <w:tcW w:type="dxa" w:w="2494"/>
          </w:tcPr>
          <w:p>
            <w:pPr>
              <w:spacing w:after="0" w:line="276" w:lineRule="auto"/>
            </w:pPr>
            <w:r>
              <w:rPr>
                <w:rFonts w:ascii="Arial" w:hAnsi="Arial" w:eastAsia="Arial"/>
                <w:b w:val="0"/>
                <w:color w:val="1D1D1F"/>
                <w:sz w:val="19"/>
              </w:rPr>
              <w:t>7 days</w:t>
            </w:r>
          </w:p>
        </w:tc>
        <w:tc>
          <w:tcPr>
            <w:tcW w:type="dxa" w:w="4422"/>
          </w:tcPr>
          <w:p>
            <w:pPr>
              <w:spacing w:after="0" w:line="276" w:lineRule="auto"/>
            </w:pPr>
            <w:r>
              <w:rPr>
                <w:rFonts w:ascii="Arial" w:hAnsi="Arial" w:eastAsia="Arial"/>
                <w:b w:val="0"/>
                <w:color w:val="1D1D1F"/>
                <w:sz w:val="19"/>
              </w:rPr>
              <w:t>The record of each delivery attempt to an organisation's webhook.</w:t>
            </w:r>
          </w:p>
        </w:tc>
      </w:tr>
      <w:tr>
        <w:trPr>
          <w:cantSplit w:val="true"/>
        </w:trPr>
        <w:tc>
          <w:tcPr>
            <w:tcW w:type="dxa" w:w="2154"/>
          </w:tcPr>
          <w:p>
            <w:pPr>
              <w:spacing w:after="0" w:line="276" w:lineRule="auto"/>
            </w:pPr>
            <w:r>
              <w:rPr>
                <w:rFonts w:ascii="Arial" w:hAnsi="Arial" w:eastAsia="Arial"/>
                <w:b/>
                <w:color w:val="1D1D1F"/>
                <w:sz w:val="19"/>
              </w:rPr>
              <w:t>API usage counts</w:t>
            </w:r>
          </w:p>
        </w:tc>
        <w:tc>
          <w:tcPr>
            <w:tcW w:type="dxa" w:w="2494"/>
          </w:tcPr>
          <w:p>
            <w:pPr>
              <w:spacing w:after="0" w:line="276" w:lineRule="auto"/>
            </w:pPr>
            <w:r>
              <w:rPr>
                <w:rFonts w:ascii="Arial" w:hAnsi="Arial" w:eastAsia="Arial"/>
                <w:b w:val="0"/>
                <w:color w:val="1D1D1F"/>
                <w:sz w:val="19"/>
              </w:rPr>
              <w:t>90 days</w:t>
            </w:r>
          </w:p>
        </w:tc>
        <w:tc>
          <w:tcPr>
            <w:tcW w:type="dxa" w:w="4422"/>
          </w:tcPr>
          <w:p>
            <w:pPr>
              <w:spacing w:after="0" w:line="276" w:lineRule="auto"/>
            </w:pPr>
            <w:r>
              <w:rPr>
                <w:rFonts w:ascii="Arial" w:hAnsi="Arial" w:eastAsia="Arial"/>
                <w:b w:val="0"/>
                <w:color w:val="1D1D1F"/>
                <w:sz w:val="19"/>
              </w:rPr>
              <w:t>How much each Organisation API key was used.</w:t>
            </w:r>
          </w:p>
        </w:tc>
      </w:tr>
      <w:tr>
        <w:trPr>
          <w:cantSplit w:val="true"/>
        </w:trPr>
        <w:tc>
          <w:tcPr>
            <w:tcW w:type="dxa" w:w="2154"/>
          </w:tcPr>
          <w:p>
            <w:pPr>
              <w:spacing w:after="0" w:line="276" w:lineRule="auto"/>
            </w:pPr>
            <w:r>
              <w:rPr>
                <w:rFonts w:ascii="Arial" w:hAnsi="Arial" w:eastAsia="Arial"/>
                <w:b/>
                <w:color w:val="1D1D1F"/>
                <w:sz w:val="19"/>
              </w:rPr>
              <w:t>Database backups</w:t>
            </w:r>
          </w:p>
        </w:tc>
        <w:tc>
          <w:tcPr>
            <w:tcW w:type="dxa" w:w="2494"/>
          </w:tcPr>
          <w:p>
            <w:pPr>
              <w:spacing w:after="0" w:line="276" w:lineRule="auto"/>
            </w:pPr>
            <w:r>
              <w:rPr>
                <w:rFonts w:ascii="Arial" w:hAnsi="Arial" w:eastAsia="Arial"/>
                <w:b w:val="0"/>
                <w:color w:val="1D1D1F"/>
                <w:sz w:val="19"/>
              </w:rPr>
              <w:t>Seven daily backups</w:t>
            </w:r>
          </w:p>
        </w:tc>
        <w:tc>
          <w:tcPr>
            <w:tcW w:type="dxa" w:w="4422"/>
          </w:tcPr>
          <w:p>
            <w:pPr>
              <w:spacing w:after="0" w:line="276" w:lineRule="auto"/>
            </w:pPr>
            <w:r>
              <w:rPr>
                <w:rFonts w:ascii="Arial" w:hAnsi="Arial" w:eastAsia="Arial"/>
                <w:b w:val="0"/>
                <w:color w:val="1D1D1F"/>
                <w:sz w:val="19"/>
              </w:rPr>
              <w:t>Older backups are replaced.</w:t>
            </w:r>
          </w:p>
        </w:tc>
      </w:tr>
      <w:tr>
        <w:trPr>
          <w:cantSplit w:val="true"/>
        </w:trPr>
        <w:tc>
          <w:tcPr>
            <w:tcW w:type="dxa" w:w="2154"/>
          </w:tcPr>
          <w:p>
            <w:pPr>
              <w:spacing w:after="0" w:line="276" w:lineRule="auto"/>
            </w:pPr>
            <w:r>
              <w:rPr>
                <w:rFonts w:ascii="Arial" w:hAnsi="Arial" w:eastAsia="Arial"/>
                <w:b/>
                <w:color w:val="1D1D1F"/>
                <w:sz w:val="19"/>
              </w:rPr>
              <w:t>Website visits</w:t>
            </w:r>
          </w:p>
        </w:tc>
        <w:tc>
          <w:tcPr>
            <w:tcW w:type="dxa" w:w="2494"/>
          </w:tcPr>
          <w:p>
            <w:pPr>
              <w:spacing w:after="0" w:line="276" w:lineRule="auto"/>
            </w:pPr>
            <w:r>
              <w:rPr>
                <w:rFonts w:ascii="Arial" w:hAnsi="Arial" w:eastAsia="Arial"/>
                <w:b w:val="0"/>
                <w:color w:val="1D1D1F"/>
                <w:sz w:val="19"/>
              </w:rPr>
              <w:t>No IP address stored</w:t>
            </w:r>
          </w:p>
        </w:tc>
        <w:tc>
          <w:tcPr>
            <w:tcW w:type="dxa" w:w="4422"/>
          </w:tcPr>
          <w:p>
            <w:pPr>
              <w:spacing w:after="0" w:line="276" w:lineRule="auto"/>
            </w:pPr>
            <w:r>
              <w:rPr>
                <w:rFonts w:ascii="Arial" w:hAnsi="Arial" w:eastAsia="Arial"/>
                <w:b w:val="0"/>
                <w:color w:val="1D1D1F"/>
                <w:sz w:val="19"/>
              </w:rPr>
              <w:t>The visitor hash changes daily, so it identifies no one beyond a single day.</w:t>
            </w:r>
          </w:p>
        </w:tc>
      </w:tr>
    </w:tbl>
    <w:p>
      <w:pPr>
        <w:spacing w:after="40"/>
      </w:pPr>
    </w:p>
    <w:p>
      <w:pPr>
        <w:pStyle w:val="Heading1"/>
        <w:tabs>
          <w:tab w:pos="652" w:val="left"/>
        </w:tabs>
        <w:ind w:left="652" w:hanging="652"/>
      </w:pPr>
      <w:r>
        <w:rPr>
          <w:rFonts w:ascii="Arial" w:hAnsi="Arial" w:eastAsia="Arial"/>
          <w:color w:val="0071E3"/>
        </w:rPr>
        <w:t>14</w:t>
        <w:tab/>
      </w:r>
      <w:r>
        <w:rPr>
          <w:rFonts w:ascii="Arial" w:hAnsi="Arial" w:eastAsia="Arial"/>
        </w:rPr>
        <w:t>What this document does not claim</w:t>
      </w:r>
    </w:p>
    <w:p>
      <w:r>
        <w:rPr>
          <w:rFonts w:ascii="Arial" w:hAnsi="Arial" w:eastAsia="Arial"/>
          <w:color w:val="1D1D1F"/>
          <w:sz w:val="21"/>
        </w:rPr>
        <w:t>This document describes controls that exist in the product today. It does not claim any third-party certification or audit. If your procurement needs answers to a specific questionnaire, send it to us and we will answer it for the platform as it is.</w:t>
      </w:r>
    </w:p>
    <w:p>
      <w:pPr>
        <w:pStyle w:val="Heading1"/>
        <w:tabs>
          <w:tab w:pos="652" w:val="left"/>
        </w:tabs>
        <w:ind w:left="652" w:hanging="652"/>
      </w:pPr>
      <w:r>
        <w:rPr>
          <w:rFonts w:ascii="Arial" w:hAnsi="Arial" w:eastAsia="Arial"/>
          <w:color w:val="0071E3"/>
        </w:rPr>
        <w:t>15</w:t>
        <w:tab/>
      </w:r>
      <w:r>
        <w:rPr>
          <w:rFonts w:ascii="Arial" w:hAnsi="Arial" w:eastAsia="Arial"/>
        </w:rPr>
        <w:t>Reporting a vulnerability</w:t>
      </w:r>
    </w:p>
    <w:p>
      <w:r>
        <w:rPr>
          <w:rFonts w:ascii="Arial" w:hAnsi="Arial" w:eastAsia="Arial"/>
          <w:color w:val="1D1D1F"/>
          <w:sz w:val="21"/>
        </w:rPr>
        <w:t>If you believe you have found a security problem in Screenry, please write to support@screenry.io. Include what you found, how to reproduce it and how to reach you. Please do not access other customers' data, disrupt service or disclose the issue publicly before we have had a reasonable chance to fix it. We will acknowledge your report and keep you informed.</w:t>
      </w:r>
    </w:p>
    <w:p>
      <w:pPr>
        <w:spacing w:after="80"/>
      </w:pPr>
    </w:p>
    <w:tbl>
      <w:tblPr>
        <w:tblW w:type="dxa" w:w="9072"/>
        <w:tblBorders>
          <w:top w:val="nil"/>
          <w:left w:val="nil"/>
          <w:bottom w:val="nil"/>
          <w:right w:val="nil"/>
          <w:insideH w:val="nil"/>
          <w:insideV w:val="nil"/>
        </w:tblBorders>
        <w:tblLayout w:type="fixed"/>
        <w:tblCellMar>
          <w:top w:w="180" w:type="dxa"/>
          <w:left w:w="220" w:type="dxa"/>
          <w:bottom w:w="160" w:type="dxa"/>
          <w:right w:w="220" w:type="dxa"/>
        </w:tblCellMar>
        <w:tblLook w:firstColumn="1" w:firstRow="1" w:lastColumn="0" w:lastRow="0" w:noHBand="0" w:noVBand="1" w:val="04A0"/>
      </w:tblPr>
      <w:tblGrid>
        <w:gridCol w:w="9071"/>
      </w:tblGrid>
      <w:tr>
        <w:tc>
          <w:tcPr>
            <w:tcW w:type="dxa" w:w="9071"/>
            <w:shd w:val="clear" w:color="auto" w:fill="F5F5F7"/>
          </w:tcPr>
          <w:p>
            <w:pPr>
              <w:spacing w:after="60"/>
            </w:pPr>
            <w:r>
              <w:rPr>
                <w:rFonts w:ascii="Arial" w:hAnsi="Arial" w:eastAsia="Arial"/>
                <w:b/>
                <w:sz w:val="22"/>
              </w:rPr>
              <w:t>Contact</w:t>
            </w:r>
          </w:p>
          <w:p>
            <w:pPr>
              <w:spacing w:after="0"/>
            </w:pPr>
            <w:r>
              <w:rPr>
                <w:rFonts w:ascii="Arial" w:hAnsi="Arial" w:eastAsia="Arial"/>
                <w:sz w:val="21"/>
              </w:rPr>
              <w:t>Security questions and questionnaires: support@screenry.io</w:t>
            </w:r>
          </w:p>
          <w:p>
            <w:pPr>
              <w:spacing w:after="0"/>
            </w:pPr>
            <w:r>
              <w:rPr>
                <w:rFonts w:ascii="Arial" w:hAnsi="Arial" w:eastAsia="Arial"/>
                <w:sz w:val="21"/>
              </w:rPr>
              <w:t xml:space="preserve">Company details: </w:t>
            </w:r>
            <w:r>
              <w:rPr>
                <w:rFonts w:ascii="Arial" w:hAnsi="Arial" w:eastAsia="Arial"/>
                <w:color w:val="6E6E73"/>
                <w:sz w:val="21"/>
                <w:highlight w:val="yellow"/>
              </w:rPr>
              <w:t>[to be completed]</w:t>
            </w:r>
          </w:p>
        </w:tc>
      </w:tr>
    </w:tbl>
    <w:sectPr w:rsidR="00FC693F" w:rsidRPr="0006063C" w:rsidSect="00034616">
      <w:footerReference w:type="default" r:id="rId9"/>
      <w:pgSz w:w="11906" w:h="16838"/>
      <w:pgMar w:top="1247" w:right="1417" w:bottom="1247" w:left="1417" w:header="720"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6" w:color="E3E3E8"/>
      </w:pBdr>
      <w:tabs>
        <w:tab w:pos="9071" w:val="right"/>
      </w:tabs>
    </w:pPr>
    <w:r/>
    <w:r>
      <w:rPr>
        <w:rFonts w:ascii="Arial" w:hAnsi="Arial" w:eastAsia="Arial"/>
        <w:color w:val="6E6E73"/>
        <w:sz w:val="17"/>
      </w:rPr>
      <w:t>Screenry · Security and data protection · October 2026</w:t>
      <w:tab/>
      <w:t xml:space="preserve">Page </w:t>
    </w:r>
    <w:fldSimple w:instr="PAGE">
      <w:r>
        <w:rPr>
          <w:rFonts w:ascii="Arial" w:hAnsi="Arial" w:eastAsia="Arial" w:cs="Arial"/>
          <w:color w:val="6E6E73"/>
          <w:sz w:val="17"/>
        </w:rPr>
        <w:t>1</w:t>
      </w:r>
    </w:fldSimple>
    <w:r>
      <w:rPr>
        <w:rFonts w:ascii="Arial" w:hAnsi="Arial" w:eastAsia="Arial"/>
        <w:color w:val="6E6E73"/>
        <w:sz w:val="17"/>
      </w:rPr>
      <w:t xml:space="preserve"> of </w:t>
    </w:r>
    <w:fldSimple w:instr="NUMPAGES">
      <w:r>
        <w:rPr>
          <w:rFonts w:ascii="Arial" w:hAnsi="Arial" w:eastAsia="Arial" w:cs="Arial"/>
          <w:color w:val="6E6E73"/>
          <w:sz w:val="17"/>
        </w:rPr>
        <w:t>4</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color w:val="1D1D1F"/>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Arial" w:hAnsi="Arial" w:eastAsia="Arial" w:cs="Arial"/>
      <w:b/>
      <w:bCs/>
      <w:color w:val="1D1D1F"/>
      <w:sz w:val="30"/>
      <w:szCs w:val="28"/>
    </w:rPr>
  </w:style>
  <w:style w:type="paragraph" w:styleId="Heading2">
    <w:name w:val="heading 2"/>
    <w:basedOn w:val="Normal"/>
    <w:next w:val="Normal"/>
    <w:link w:val="Heading2Char"/>
    <w:uiPriority w:val="9"/>
    <w:unhideWhenUsed/>
    <w:qFormat/>
    <w:rsid w:val="00FC693F"/>
    <w:pPr>
      <w:keepNext/>
      <w:keepLines/>
      <w:spacing w:before="160" w:after="40"/>
      <w:outlineLvl w:val="1"/>
    </w:pPr>
    <w:rPr>
      <w:rFonts w:ascii="Arial" w:hAnsi="Arial" w:eastAsia="Arial" w:cs="Arial"/>
      <w:b/>
      <w:bCs/>
      <w:color w:val="1D1D1F"/>
      <w:sz w:val="23"/>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Arial" w:hAnsi="Arial" w:eastAsia="Arial" w:cs="Arial"/>
      <w:b/>
      <w:bCs/>
      <w:color w:val="1D1D1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eastAsia="Arial" w:cs="Arial"/>
      <w:b/>
      <w:color w:val="1D1D1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Screenry — Security and data protection</dc:title>
  <dc:subject>How the Screenry platform protects data, as it runs in October 2026</dc:subject>
  <dc:creator>Screenry</dc:creator>
  <cp:keywords>Screenry, security, data protection, DOOH</cp:keywords>
  <dc:description>generated by python-docx</dc:description>
  <cp:lastModifiedBy>Screenry</cp:lastModifiedBy>
  <cp:revision>1</cp:revision>
  <dcterms:created xsi:type="dcterms:W3CDTF">2013-12-23T23:15:00Z</dcterms:created>
  <dcterms:modified xsi:type="dcterms:W3CDTF">2013-12-23T23:15:00Z</dcterms:modified>
  <cp:category/>
  <dc:language>en-GB</dc:language>
</cp:coreProperties>
</file>